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14DCF" w14:textId="07C8F125" w:rsidR="00BC4A77" w:rsidRPr="00143F8E" w:rsidRDefault="002B66EE" w:rsidP="00D443E7">
      <w:pPr>
        <w:jc w:val="center"/>
        <w:rPr>
          <w:b/>
          <w:bCs/>
          <w:sz w:val="32"/>
          <w:szCs w:val="22"/>
        </w:rPr>
      </w:pPr>
      <w:r w:rsidRPr="00143F8E">
        <w:rPr>
          <w:b/>
          <w:bCs/>
          <w:sz w:val="32"/>
          <w:szCs w:val="22"/>
        </w:rPr>
        <w:t>MYTH vs. FACT</w:t>
      </w:r>
      <w:r w:rsidR="00BC4A77" w:rsidRPr="00143F8E">
        <w:rPr>
          <w:b/>
          <w:bCs/>
          <w:sz w:val="32"/>
          <w:szCs w:val="22"/>
        </w:rPr>
        <w:t xml:space="preserve"> – SASC Hearing May 6, 2020</w:t>
      </w:r>
    </w:p>
    <w:p w14:paraId="08C233A8" w14:textId="17E8C604" w:rsidR="00A572C7" w:rsidRPr="00143F8E" w:rsidRDefault="00A572C7" w:rsidP="00682918">
      <w:pPr>
        <w:rPr>
          <w:b/>
          <w:bCs/>
          <w:sz w:val="22"/>
          <w:szCs w:val="22"/>
        </w:rPr>
      </w:pPr>
    </w:p>
    <w:p w14:paraId="74C951C4" w14:textId="77777777" w:rsidR="00D443E7" w:rsidRPr="00143F8E" w:rsidRDefault="00D443E7" w:rsidP="00D20740">
      <w:pPr>
        <w:rPr>
          <w:b/>
          <w:bCs/>
          <w:sz w:val="22"/>
          <w:szCs w:val="32"/>
          <w:u w:val="single"/>
        </w:rPr>
      </w:pPr>
    </w:p>
    <w:p w14:paraId="1C2E2161" w14:textId="2CAFF150" w:rsidR="008B7B33" w:rsidRPr="00143F8E" w:rsidRDefault="008B7B33" w:rsidP="00D20740">
      <w:pPr>
        <w:rPr>
          <w:b/>
          <w:bCs/>
          <w:sz w:val="28"/>
          <w:szCs w:val="32"/>
          <w:u w:val="single"/>
        </w:rPr>
      </w:pPr>
      <w:r w:rsidRPr="00143F8E">
        <w:rPr>
          <w:b/>
          <w:bCs/>
          <w:sz w:val="28"/>
          <w:szCs w:val="32"/>
          <w:u w:val="single"/>
        </w:rPr>
        <w:t>PROCESS</w:t>
      </w:r>
    </w:p>
    <w:p w14:paraId="51E0B9EB" w14:textId="77777777" w:rsidR="008B7B33" w:rsidRPr="00143F8E" w:rsidRDefault="008B7B33" w:rsidP="00D20740">
      <w:pPr>
        <w:rPr>
          <w:b/>
          <w:bCs/>
        </w:rPr>
      </w:pPr>
    </w:p>
    <w:p w14:paraId="6F60D08A" w14:textId="31B7A72B" w:rsidR="00D20740" w:rsidRPr="00B5094E" w:rsidRDefault="00D20740" w:rsidP="00D20740">
      <w:pPr>
        <w:rPr>
          <w:bCs/>
        </w:rPr>
      </w:pPr>
      <w:r w:rsidRPr="00143F8E">
        <w:rPr>
          <w:b/>
          <w:bCs/>
          <w:i/>
        </w:rPr>
        <w:t>Myth: There was no public comment process</w:t>
      </w:r>
      <w:r w:rsidR="00112D6B" w:rsidRPr="00143F8E">
        <w:rPr>
          <w:b/>
          <w:bCs/>
          <w:i/>
        </w:rPr>
        <w:t>.</w:t>
      </w:r>
      <w:r w:rsidR="00B5094E">
        <w:rPr>
          <w:bCs/>
        </w:rPr>
        <w:t xml:space="preserve"> </w:t>
      </w:r>
      <w:r w:rsidR="00B5094E" w:rsidRPr="00ED5E39">
        <w:rPr>
          <w:b/>
          <w:bCs/>
          <w:i/>
        </w:rPr>
        <w:t xml:space="preserve">(Reed, Inhofe, </w:t>
      </w:r>
      <w:proofErr w:type="spellStart"/>
      <w:r w:rsidR="00B5094E" w:rsidRPr="00ED5E39">
        <w:rPr>
          <w:b/>
          <w:bCs/>
          <w:i/>
        </w:rPr>
        <w:t>Deasy</w:t>
      </w:r>
      <w:proofErr w:type="spellEnd"/>
      <w:r w:rsidR="00B5094E" w:rsidRPr="00ED5E39">
        <w:rPr>
          <w:b/>
          <w:bCs/>
          <w:i/>
        </w:rPr>
        <w:t>, Allen, SASC Hearing)</w:t>
      </w:r>
    </w:p>
    <w:p w14:paraId="702D2349" w14:textId="77777777" w:rsidR="00D20740" w:rsidRPr="00143F8E" w:rsidRDefault="00D20740" w:rsidP="00D20740"/>
    <w:p w14:paraId="0E2087A2" w14:textId="5F2E7776" w:rsidR="00BA66A9" w:rsidRPr="00143F8E" w:rsidRDefault="00D20740" w:rsidP="00F232F8">
      <w:r w:rsidRPr="00143F8E">
        <w:rPr>
          <w:b/>
          <w:u w:val="single"/>
        </w:rPr>
        <w:t>Fact</w:t>
      </w:r>
      <w:r w:rsidRPr="00143F8E">
        <w:t>:</w:t>
      </w:r>
      <w:r w:rsidR="0057395B" w:rsidRPr="00143F8E">
        <w:t xml:space="preserve"> </w:t>
      </w:r>
      <w:r w:rsidR="003A24E1" w:rsidRPr="00143F8E">
        <w:t xml:space="preserve">There was a robust and extended public comment process. </w:t>
      </w:r>
      <w:r w:rsidR="00155FD2" w:rsidRPr="00143F8E">
        <w:t xml:space="preserve">The FCC has been accepting comments for over four years, and was open to submission from any </w:t>
      </w:r>
      <w:r w:rsidR="0057395B" w:rsidRPr="00143F8E">
        <w:t>stakeholder</w:t>
      </w:r>
      <w:r w:rsidR="00155FD2" w:rsidRPr="00143F8E">
        <w:t xml:space="preserve"> during that period.  As it does in all similar proceedings, the FCC issued two specific notices asking for comment on the application:  </w:t>
      </w:r>
    </w:p>
    <w:p w14:paraId="248F8DE1" w14:textId="77777777" w:rsidR="00F97A14" w:rsidRPr="00143F8E" w:rsidRDefault="00F97A14" w:rsidP="00F232F8"/>
    <w:p w14:paraId="79DD02D8" w14:textId="0CC44C0A" w:rsidR="0057395B" w:rsidRPr="00143F8E" w:rsidRDefault="00D20740" w:rsidP="0057395B">
      <w:pPr>
        <w:numPr>
          <w:ilvl w:val="0"/>
          <w:numId w:val="25"/>
        </w:numPr>
      </w:pPr>
      <w:r w:rsidRPr="00143F8E">
        <w:t xml:space="preserve">On April 22, 2016, the FCC posted a </w:t>
      </w:r>
      <w:hyperlink r:id="rId8" w:history="1">
        <w:r w:rsidRPr="00143F8E">
          <w:rPr>
            <w:rStyle w:val="Hyperlink"/>
            <w:rFonts w:ascii="Arial" w:hAnsi="Arial"/>
            <w:color w:val="auto"/>
          </w:rPr>
          <w:t>Public Notice</w:t>
        </w:r>
      </w:hyperlink>
      <w:r w:rsidRPr="00143F8E">
        <w:t xml:space="preserve"> in the Federal Register asking for public comment on Ligado’s proposal</w:t>
      </w:r>
      <w:r w:rsidR="000237EC" w:rsidRPr="00143F8E">
        <w:t xml:space="preserve">. </w:t>
      </w:r>
      <w:r w:rsidR="005B12CA" w:rsidRPr="00143F8E">
        <w:t>Many comments were filed during the comment cycle but n</w:t>
      </w:r>
      <w:r w:rsidR="006C2E30" w:rsidRPr="00143F8E">
        <w:t>o</w:t>
      </w:r>
      <w:r w:rsidR="00155FD2" w:rsidRPr="00143F8E">
        <w:t xml:space="preserve"> party submitted a request to deny the application</w:t>
      </w:r>
      <w:r w:rsidR="00287538" w:rsidRPr="00143F8E">
        <w:t>.</w:t>
      </w:r>
    </w:p>
    <w:p w14:paraId="35FF67FD" w14:textId="77777777" w:rsidR="00420B3E" w:rsidRPr="00143F8E" w:rsidRDefault="00420B3E" w:rsidP="00420B3E">
      <w:pPr>
        <w:ind w:left="720"/>
      </w:pPr>
    </w:p>
    <w:p w14:paraId="275D2CB4" w14:textId="032B8C5F" w:rsidR="00D20740" w:rsidRPr="00143F8E" w:rsidRDefault="00BA66A9" w:rsidP="0057395B">
      <w:pPr>
        <w:numPr>
          <w:ilvl w:val="0"/>
          <w:numId w:val="25"/>
        </w:numPr>
      </w:pPr>
      <w:r w:rsidRPr="00143F8E">
        <w:t xml:space="preserve">On June 2018, the FCC posted </w:t>
      </w:r>
      <w:r w:rsidR="001C0A66" w:rsidRPr="00143F8E">
        <w:t xml:space="preserve">a second </w:t>
      </w:r>
      <w:hyperlink r:id="rId9" w:history="1">
        <w:r w:rsidRPr="00143F8E">
          <w:rPr>
            <w:rStyle w:val="Hyperlink"/>
            <w:rFonts w:ascii="Arial" w:hAnsi="Arial"/>
            <w:color w:val="auto"/>
          </w:rPr>
          <w:t>Public Notice</w:t>
        </w:r>
      </w:hyperlink>
      <w:r w:rsidRPr="00143F8E">
        <w:t xml:space="preserve"> and opened another public </w:t>
      </w:r>
      <w:r w:rsidR="001C0A66" w:rsidRPr="00143F8E">
        <w:t>comment period</w:t>
      </w:r>
      <w:r w:rsidR="0057395B" w:rsidRPr="00143F8E">
        <w:t>.</w:t>
      </w:r>
    </w:p>
    <w:p w14:paraId="4AE87F47" w14:textId="77777777" w:rsidR="00ED604D" w:rsidRPr="00143F8E" w:rsidRDefault="00ED604D" w:rsidP="00092B9A">
      <w:pPr>
        <w:pStyle w:val="ListParagraph"/>
      </w:pPr>
    </w:p>
    <w:p w14:paraId="38B4CDF0" w14:textId="49B55FC4" w:rsidR="00ED604D" w:rsidRPr="00143F8E" w:rsidRDefault="00ED604D" w:rsidP="0057395B">
      <w:pPr>
        <w:numPr>
          <w:ilvl w:val="0"/>
          <w:numId w:val="25"/>
        </w:numPr>
      </w:pPr>
      <w:r w:rsidRPr="00143F8E">
        <w:t xml:space="preserve">Between the two comment periods, </w:t>
      </w:r>
      <w:r w:rsidR="005B12CA" w:rsidRPr="00143F8E">
        <w:t xml:space="preserve">various stakeholders and interested parties filed </w:t>
      </w:r>
      <w:r w:rsidRPr="00143F8E">
        <w:t>over 100 comments into the FCC’s public docket.</w:t>
      </w:r>
    </w:p>
    <w:p w14:paraId="5ED863E7" w14:textId="77777777" w:rsidR="0057395B" w:rsidRPr="00143F8E" w:rsidRDefault="0057395B" w:rsidP="00D20740"/>
    <w:p w14:paraId="62B1B396" w14:textId="4C3A7F8B" w:rsidR="00D20740" w:rsidRPr="00ED5E39" w:rsidRDefault="00D20740" w:rsidP="00D20740">
      <w:pPr>
        <w:rPr>
          <w:b/>
          <w:bCs/>
          <w:i/>
        </w:rPr>
      </w:pPr>
      <w:r w:rsidRPr="00143F8E">
        <w:rPr>
          <w:b/>
          <w:bCs/>
          <w:i/>
        </w:rPr>
        <w:t xml:space="preserve">Myth: The FCC did not go through </w:t>
      </w:r>
      <w:r w:rsidR="00005A6D" w:rsidRPr="00143F8E">
        <w:rPr>
          <w:b/>
          <w:bCs/>
          <w:i/>
        </w:rPr>
        <w:t xml:space="preserve">its </w:t>
      </w:r>
      <w:r w:rsidRPr="00143F8E">
        <w:rPr>
          <w:b/>
          <w:bCs/>
          <w:i/>
        </w:rPr>
        <w:t>rulemaking process</w:t>
      </w:r>
      <w:r w:rsidR="00112D6B" w:rsidRPr="00143F8E">
        <w:rPr>
          <w:b/>
          <w:bCs/>
          <w:i/>
        </w:rPr>
        <w:t>.</w:t>
      </w:r>
      <w:r w:rsidR="00B5094E">
        <w:rPr>
          <w:b/>
          <w:bCs/>
        </w:rPr>
        <w:t xml:space="preserve"> </w:t>
      </w:r>
      <w:r w:rsidR="00B5094E" w:rsidRPr="00ED5E39">
        <w:rPr>
          <w:b/>
          <w:bCs/>
          <w:i/>
        </w:rPr>
        <w:t xml:space="preserve">(Reed, Inhofe, </w:t>
      </w:r>
      <w:proofErr w:type="spellStart"/>
      <w:r w:rsidR="00B5094E" w:rsidRPr="00ED5E39">
        <w:rPr>
          <w:b/>
          <w:bCs/>
          <w:i/>
        </w:rPr>
        <w:t>Shaheen</w:t>
      </w:r>
      <w:proofErr w:type="spellEnd"/>
      <w:r w:rsidR="00B5094E" w:rsidRPr="00ED5E39">
        <w:rPr>
          <w:b/>
          <w:bCs/>
          <w:i/>
        </w:rPr>
        <w:t xml:space="preserve">, </w:t>
      </w:r>
      <w:proofErr w:type="spellStart"/>
      <w:r w:rsidR="00B5094E" w:rsidRPr="00ED5E39">
        <w:rPr>
          <w:b/>
          <w:bCs/>
          <w:i/>
        </w:rPr>
        <w:t>Deasy</w:t>
      </w:r>
      <w:proofErr w:type="spellEnd"/>
      <w:r w:rsidR="00B5094E" w:rsidRPr="00ED5E39">
        <w:rPr>
          <w:b/>
          <w:bCs/>
          <w:i/>
        </w:rPr>
        <w:t>, Allen, SASC Hearing)</w:t>
      </w:r>
    </w:p>
    <w:p w14:paraId="3AC0C248" w14:textId="0E2521D0" w:rsidR="00D20740" w:rsidRPr="00143F8E" w:rsidRDefault="00D20740" w:rsidP="00D20740">
      <w:pPr>
        <w:rPr>
          <w:b/>
          <w:bCs/>
        </w:rPr>
      </w:pPr>
    </w:p>
    <w:p w14:paraId="4E8CB83F" w14:textId="5D6DE0C1" w:rsidR="00FC121A" w:rsidRPr="00143F8E" w:rsidRDefault="00443301" w:rsidP="00FC121A">
      <w:r w:rsidRPr="00143F8E">
        <w:rPr>
          <w:b/>
          <w:u w:val="single"/>
        </w:rPr>
        <w:t>Fact</w:t>
      </w:r>
      <w:r w:rsidRPr="00C64808">
        <w:t>:</w:t>
      </w:r>
      <w:r w:rsidR="00005A6D" w:rsidRPr="00C64808">
        <w:t xml:space="preserve"> </w:t>
      </w:r>
      <w:r w:rsidR="00005A6D" w:rsidRPr="00143F8E">
        <w:t>The FCC</w:t>
      </w:r>
      <w:r w:rsidR="00CA4026" w:rsidRPr="00143F8E">
        <w:t xml:space="preserve"> followed the Administrative Procedure Act </w:t>
      </w:r>
      <w:r w:rsidR="00586FBD" w:rsidRPr="00143F8E">
        <w:t>(“APA”)</w:t>
      </w:r>
      <w:r w:rsidR="003A24E1" w:rsidRPr="00143F8E">
        <w:t xml:space="preserve"> rulemaking process</w:t>
      </w:r>
      <w:r w:rsidR="00586FBD" w:rsidRPr="00143F8E">
        <w:t xml:space="preserve"> </w:t>
      </w:r>
      <w:r w:rsidR="00CA4026" w:rsidRPr="00143F8E">
        <w:t xml:space="preserve">every step of the way.  In 2003, the </w:t>
      </w:r>
      <w:r w:rsidR="00586FBD" w:rsidRPr="00143F8E">
        <w:t>Commission</w:t>
      </w:r>
      <w:r w:rsidR="00CA4026" w:rsidRPr="00143F8E">
        <w:t xml:space="preserve"> </w:t>
      </w:r>
      <w:r w:rsidR="00155FD2" w:rsidRPr="00143F8E">
        <w:t xml:space="preserve">went through a rulemaking process </w:t>
      </w:r>
      <w:r w:rsidR="00CA4026" w:rsidRPr="00143F8E">
        <w:t xml:space="preserve">to promulgate </w:t>
      </w:r>
      <w:r w:rsidR="00155FD2" w:rsidRPr="00143F8E">
        <w:t xml:space="preserve">the rules for this spectrum.  </w:t>
      </w:r>
      <w:r w:rsidR="00CA4026" w:rsidRPr="00143F8E">
        <w:t xml:space="preserve">In processing Ligado’s application submitted in 2015 to modify its license to require dramatically reduced power levels, the FCC scrupulously followed its rules and the process established by the APA. This open and </w:t>
      </w:r>
      <w:r w:rsidR="00005A6D" w:rsidRPr="00143F8E">
        <w:t>transparent process</w:t>
      </w:r>
      <w:r w:rsidR="00287538" w:rsidRPr="00143F8E">
        <w:t xml:space="preserve"> was </w:t>
      </w:r>
      <w:r w:rsidR="003B61B8" w:rsidRPr="00143F8E">
        <w:t xml:space="preserve">closely </w:t>
      </w:r>
      <w:r w:rsidR="00287538" w:rsidRPr="00143F8E">
        <w:t>adhered to</w:t>
      </w:r>
      <w:r w:rsidR="003B61B8" w:rsidRPr="00143F8E">
        <w:t xml:space="preserve">, </w:t>
      </w:r>
      <w:r w:rsidR="00CA4026" w:rsidRPr="00143F8E">
        <w:t xml:space="preserve">all documents were on the record and available to any interested party, and this proceeding has been widely covered by the media.  </w:t>
      </w:r>
      <w:r w:rsidR="00CA4026" w:rsidRPr="00143F8E" w:rsidDel="00CA4026">
        <w:t xml:space="preserve"> </w:t>
      </w:r>
    </w:p>
    <w:p w14:paraId="03471353" w14:textId="58BD0C33" w:rsidR="008B7B33" w:rsidRPr="00143F8E" w:rsidRDefault="008B7B33" w:rsidP="00FC121A"/>
    <w:p w14:paraId="320088FE" w14:textId="0581A99F" w:rsidR="008B7B33" w:rsidRPr="00143F8E" w:rsidRDefault="008B7B33" w:rsidP="008B7B33">
      <w:pPr>
        <w:rPr>
          <w:b/>
          <w:bCs/>
          <w:i/>
        </w:rPr>
      </w:pPr>
      <w:r w:rsidRPr="00143F8E">
        <w:rPr>
          <w:b/>
          <w:bCs/>
          <w:i/>
        </w:rPr>
        <w:t xml:space="preserve">Myth: The FCC made this decision without informing anybody – over the weekend, under the veil of darkness. </w:t>
      </w:r>
      <w:r w:rsidRPr="00ED5E39">
        <w:rPr>
          <w:b/>
          <w:bCs/>
          <w:i/>
        </w:rPr>
        <w:t>(Inhofe</w:t>
      </w:r>
      <w:r w:rsidR="00B5094E" w:rsidRPr="00ED5E39">
        <w:rPr>
          <w:b/>
          <w:bCs/>
          <w:i/>
        </w:rPr>
        <w:t>, SASC Hearing</w:t>
      </w:r>
      <w:r w:rsidRPr="00ED5E39">
        <w:rPr>
          <w:b/>
          <w:bCs/>
          <w:i/>
        </w:rPr>
        <w:t>)</w:t>
      </w:r>
    </w:p>
    <w:p w14:paraId="5994454C" w14:textId="77777777" w:rsidR="008B7B33" w:rsidRPr="00143F8E" w:rsidRDefault="008B7B33" w:rsidP="008B7B33"/>
    <w:p w14:paraId="4F2F4094" w14:textId="4A966164" w:rsidR="00915654" w:rsidRPr="00143F8E" w:rsidRDefault="008B7B33" w:rsidP="008B7B33">
      <w:r w:rsidRPr="00143F8E">
        <w:rPr>
          <w:b/>
          <w:u w:val="single"/>
        </w:rPr>
        <w:t>Facts</w:t>
      </w:r>
      <w:r w:rsidRPr="00143F8E">
        <w:t>:</w:t>
      </w:r>
      <w:r w:rsidR="00915654" w:rsidRPr="00143F8E">
        <w:t xml:space="preserve"> There is nothing about </w:t>
      </w:r>
      <w:r w:rsidR="00ED0F92" w:rsidRPr="00143F8E">
        <w:t>a</w:t>
      </w:r>
      <w:r w:rsidR="00915654" w:rsidRPr="00143F8E">
        <w:t xml:space="preserve"> </w:t>
      </w:r>
      <w:r w:rsidR="001F5FAD" w:rsidRPr="00143F8E">
        <w:t>4.5</w:t>
      </w:r>
      <w:r w:rsidR="00073996">
        <w:t>-</w:t>
      </w:r>
      <w:r w:rsidR="001F5FAD" w:rsidRPr="00143F8E">
        <w:t xml:space="preserve">year </w:t>
      </w:r>
      <w:r w:rsidR="00915654" w:rsidRPr="00143F8E">
        <w:t>process</w:t>
      </w:r>
      <w:r w:rsidR="001F5FAD" w:rsidRPr="00143F8E">
        <w:t xml:space="preserve"> </w:t>
      </w:r>
      <w:r w:rsidR="00915654" w:rsidRPr="00143F8E">
        <w:t xml:space="preserve">that supports </w:t>
      </w:r>
      <w:r w:rsidR="001F5FAD" w:rsidRPr="00143F8E">
        <w:t xml:space="preserve">the </w:t>
      </w:r>
      <w:r w:rsidR="00ED0F92" w:rsidRPr="00143F8E">
        <w:t>idea of</w:t>
      </w:r>
      <w:r w:rsidR="00915654" w:rsidRPr="00143F8E">
        <w:t xml:space="preserve"> </w:t>
      </w:r>
      <w:r w:rsidR="003B61B8" w:rsidRPr="00143F8E">
        <w:t xml:space="preserve">a </w:t>
      </w:r>
      <w:r w:rsidR="00915654" w:rsidRPr="00143F8E">
        <w:t>“rush to judgement</w:t>
      </w:r>
      <w:r w:rsidR="00420B3E" w:rsidRPr="00143F8E">
        <w:t>.</w:t>
      </w:r>
      <w:r w:rsidR="00915654" w:rsidRPr="00143F8E">
        <w:t xml:space="preserve">” </w:t>
      </w:r>
    </w:p>
    <w:p w14:paraId="6D160F6F" w14:textId="77777777" w:rsidR="001F5FAD" w:rsidRPr="00143F8E" w:rsidRDefault="001F5FAD" w:rsidP="008B7B33"/>
    <w:tbl>
      <w:tblPr>
        <w:tblStyle w:val="TableGrid"/>
        <w:tblW w:w="0" w:type="auto"/>
        <w:jc w:val="center"/>
        <w:tblLook w:val="04A0" w:firstRow="1" w:lastRow="0" w:firstColumn="1" w:lastColumn="0" w:noHBand="0" w:noVBand="1"/>
      </w:tblPr>
      <w:tblGrid>
        <w:gridCol w:w="2155"/>
        <w:gridCol w:w="5400"/>
      </w:tblGrid>
      <w:tr w:rsidR="00143F8E" w:rsidRPr="00143F8E" w14:paraId="4AF4382C" w14:textId="77777777" w:rsidTr="00FD66F8">
        <w:trPr>
          <w:jc w:val="center"/>
        </w:trPr>
        <w:tc>
          <w:tcPr>
            <w:tcW w:w="2155" w:type="dxa"/>
            <w:vAlign w:val="center"/>
          </w:tcPr>
          <w:p w14:paraId="4A8BD7EB" w14:textId="087FF369" w:rsidR="003E20C5" w:rsidRPr="00143F8E" w:rsidRDefault="003E20C5" w:rsidP="00073996">
            <w:r w:rsidRPr="00143F8E">
              <w:t>Dec</w:t>
            </w:r>
            <w:r w:rsidR="00073996">
              <w:t>.</w:t>
            </w:r>
            <w:r w:rsidRPr="00143F8E">
              <w:t xml:space="preserve"> 2015</w:t>
            </w:r>
          </w:p>
        </w:tc>
        <w:tc>
          <w:tcPr>
            <w:tcW w:w="5400" w:type="dxa"/>
          </w:tcPr>
          <w:p w14:paraId="71E72145" w14:textId="02F3C0D1" w:rsidR="003E20C5" w:rsidRPr="00143F8E" w:rsidRDefault="003E20C5" w:rsidP="003E20C5">
            <w:r w:rsidRPr="00143F8E">
              <w:t xml:space="preserve">The application was filed at the Commission  </w:t>
            </w:r>
          </w:p>
        </w:tc>
      </w:tr>
      <w:tr w:rsidR="00143F8E" w:rsidRPr="00143F8E" w14:paraId="0ADE4CEA" w14:textId="77777777" w:rsidTr="00FD66F8">
        <w:trPr>
          <w:jc w:val="center"/>
        </w:trPr>
        <w:tc>
          <w:tcPr>
            <w:tcW w:w="2155" w:type="dxa"/>
            <w:vAlign w:val="center"/>
          </w:tcPr>
          <w:p w14:paraId="161BBD3D" w14:textId="3DF03240" w:rsidR="003E20C5" w:rsidRPr="00143F8E" w:rsidRDefault="003E20C5" w:rsidP="00073996">
            <w:r w:rsidRPr="00143F8E">
              <w:t xml:space="preserve">April </w:t>
            </w:r>
            <w:r w:rsidR="003B61B8" w:rsidRPr="00143F8E">
              <w:t>-</w:t>
            </w:r>
            <w:r w:rsidR="00073996">
              <w:t xml:space="preserve"> </w:t>
            </w:r>
            <w:r w:rsidR="003B61B8" w:rsidRPr="00143F8E">
              <w:t xml:space="preserve">June/July </w:t>
            </w:r>
            <w:r w:rsidRPr="00143F8E">
              <w:t>2016</w:t>
            </w:r>
          </w:p>
        </w:tc>
        <w:tc>
          <w:tcPr>
            <w:tcW w:w="5400" w:type="dxa"/>
          </w:tcPr>
          <w:p w14:paraId="41378B0D" w14:textId="13896817" w:rsidR="003E20C5" w:rsidRPr="00143F8E" w:rsidRDefault="003E20C5" w:rsidP="003E20C5">
            <w:r w:rsidRPr="00143F8E">
              <w:t>Public comment period 1</w:t>
            </w:r>
          </w:p>
        </w:tc>
      </w:tr>
      <w:tr w:rsidR="00143F8E" w:rsidRPr="00143F8E" w14:paraId="7A9AD90F" w14:textId="77777777" w:rsidTr="00FD66F8">
        <w:trPr>
          <w:jc w:val="center"/>
        </w:trPr>
        <w:tc>
          <w:tcPr>
            <w:tcW w:w="2155" w:type="dxa"/>
            <w:vAlign w:val="center"/>
          </w:tcPr>
          <w:p w14:paraId="0D3962A9" w14:textId="081D59F5" w:rsidR="003E20C5" w:rsidRPr="00143F8E" w:rsidRDefault="003E20C5" w:rsidP="00073996">
            <w:r w:rsidRPr="00143F8E">
              <w:t>June</w:t>
            </w:r>
            <w:r w:rsidR="00073996">
              <w:t xml:space="preserve"> </w:t>
            </w:r>
            <w:r w:rsidR="003B61B8" w:rsidRPr="00143F8E">
              <w:t>-</w:t>
            </w:r>
            <w:r w:rsidR="00073996">
              <w:t xml:space="preserve"> </w:t>
            </w:r>
            <w:r w:rsidR="003B61B8" w:rsidRPr="00143F8E">
              <w:t xml:space="preserve">July </w:t>
            </w:r>
            <w:r w:rsidRPr="00143F8E">
              <w:t>2018</w:t>
            </w:r>
          </w:p>
        </w:tc>
        <w:tc>
          <w:tcPr>
            <w:tcW w:w="5400" w:type="dxa"/>
          </w:tcPr>
          <w:p w14:paraId="6D8AA2F7" w14:textId="71B52AE2" w:rsidR="003E20C5" w:rsidRPr="00143F8E" w:rsidRDefault="003E20C5" w:rsidP="003E20C5">
            <w:r w:rsidRPr="00143F8E">
              <w:t>Public comment period 2</w:t>
            </w:r>
          </w:p>
        </w:tc>
      </w:tr>
      <w:tr w:rsidR="00143F8E" w:rsidRPr="00143F8E" w14:paraId="5EC29FBD" w14:textId="77777777" w:rsidTr="00FD66F8">
        <w:trPr>
          <w:jc w:val="center"/>
        </w:trPr>
        <w:tc>
          <w:tcPr>
            <w:tcW w:w="2155" w:type="dxa"/>
            <w:vAlign w:val="center"/>
          </w:tcPr>
          <w:p w14:paraId="2186140E" w14:textId="2FA9C276" w:rsidR="003E20C5" w:rsidRPr="00143F8E" w:rsidRDefault="003E20C5" w:rsidP="00073996">
            <w:r w:rsidRPr="00143F8E">
              <w:t>Oct</w:t>
            </w:r>
            <w:r w:rsidR="00073996">
              <w:t>.</w:t>
            </w:r>
            <w:r w:rsidRPr="00143F8E">
              <w:t xml:space="preserve"> 2019</w:t>
            </w:r>
          </w:p>
        </w:tc>
        <w:tc>
          <w:tcPr>
            <w:tcW w:w="5400" w:type="dxa"/>
          </w:tcPr>
          <w:p w14:paraId="2FBC1D73" w14:textId="472839FA" w:rsidR="003E20C5" w:rsidRPr="00143F8E" w:rsidRDefault="003E20C5" w:rsidP="003B61B8">
            <w:r w:rsidRPr="00143F8E">
              <w:t xml:space="preserve">FCC </w:t>
            </w:r>
            <w:r w:rsidR="003B61B8" w:rsidRPr="00143F8E">
              <w:t xml:space="preserve">shares draft order with </w:t>
            </w:r>
            <w:r w:rsidRPr="00143F8E">
              <w:t>federal agencies</w:t>
            </w:r>
            <w:r w:rsidR="00586FBD" w:rsidRPr="00143F8E">
              <w:t xml:space="preserve">, including </w:t>
            </w:r>
            <w:r w:rsidR="00B257B1" w:rsidRPr="00143F8E">
              <w:t>DoD</w:t>
            </w:r>
            <w:r w:rsidR="00586FBD" w:rsidRPr="00143F8E">
              <w:t>.</w:t>
            </w:r>
            <w:r w:rsidRPr="00143F8E">
              <w:t xml:space="preserve"> </w:t>
            </w:r>
          </w:p>
        </w:tc>
      </w:tr>
      <w:tr w:rsidR="00143F8E" w:rsidRPr="00143F8E" w14:paraId="1E5A9D04" w14:textId="77777777" w:rsidTr="00FD66F8">
        <w:trPr>
          <w:jc w:val="center"/>
        </w:trPr>
        <w:tc>
          <w:tcPr>
            <w:tcW w:w="2155" w:type="dxa"/>
            <w:vAlign w:val="center"/>
          </w:tcPr>
          <w:p w14:paraId="0958DF9B" w14:textId="4C4D831C" w:rsidR="003B61B8" w:rsidRPr="00143F8E" w:rsidRDefault="003B61B8" w:rsidP="00073996">
            <w:r w:rsidRPr="00143F8E">
              <w:t>Nov. 2019</w:t>
            </w:r>
          </w:p>
        </w:tc>
        <w:tc>
          <w:tcPr>
            <w:tcW w:w="5400" w:type="dxa"/>
          </w:tcPr>
          <w:p w14:paraId="3186E060" w14:textId="3B61D499" w:rsidR="003B61B8" w:rsidRPr="00143F8E" w:rsidRDefault="00B257B1" w:rsidP="003E20C5">
            <w:r w:rsidRPr="00143F8E">
              <w:t>DoD</w:t>
            </w:r>
            <w:r w:rsidR="003B61B8" w:rsidRPr="00143F8E">
              <w:t xml:space="preserve"> sends letter to FCC on Application </w:t>
            </w:r>
            <w:r w:rsidR="005B12CA" w:rsidRPr="00143F8E">
              <w:t xml:space="preserve">but submitted no data and referenced DOT Study submitted in </w:t>
            </w:r>
            <w:r w:rsidR="001E3A00">
              <w:t>May 2018</w:t>
            </w:r>
            <w:r w:rsidR="005B12CA" w:rsidRPr="00143F8E">
              <w:t xml:space="preserve">.  </w:t>
            </w:r>
          </w:p>
        </w:tc>
      </w:tr>
      <w:tr w:rsidR="00143F8E" w:rsidRPr="00143F8E" w14:paraId="119877BB" w14:textId="77777777" w:rsidTr="00FD66F8">
        <w:trPr>
          <w:jc w:val="center"/>
        </w:trPr>
        <w:tc>
          <w:tcPr>
            <w:tcW w:w="2155" w:type="dxa"/>
            <w:vAlign w:val="center"/>
          </w:tcPr>
          <w:p w14:paraId="6B770321" w14:textId="1E95EF01" w:rsidR="003E20C5" w:rsidRPr="00143F8E" w:rsidRDefault="003E20C5" w:rsidP="00073996">
            <w:r w:rsidRPr="00143F8E">
              <w:t>Dec</w:t>
            </w:r>
            <w:r w:rsidR="00073996">
              <w:t>.</w:t>
            </w:r>
            <w:r w:rsidRPr="00143F8E">
              <w:t xml:space="preserve"> 2019</w:t>
            </w:r>
          </w:p>
        </w:tc>
        <w:tc>
          <w:tcPr>
            <w:tcW w:w="5400" w:type="dxa"/>
          </w:tcPr>
          <w:p w14:paraId="4FBFF14A" w14:textId="1C009563" w:rsidR="003E20C5" w:rsidRPr="00143F8E" w:rsidRDefault="003E20C5" w:rsidP="003E20C5">
            <w:r w:rsidRPr="00143F8E">
              <w:t>Pai testifies to Congress that his decision is at the IRAC</w:t>
            </w:r>
          </w:p>
        </w:tc>
      </w:tr>
      <w:tr w:rsidR="00143F8E" w:rsidRPr="00143F8E" w14:paraId="140227FF" w14:textId="77777777" w:rsidTr="00FD66F8">
        <w:trPr>
          <w:jc w:val="center"/>
        </w:trPr>
        <w:tc>
          <w:tcPr>
            <w:tcW w:w="2155" w:type="dxa"/>
            <w:vAlign w:val="center"/>
          </w:tcPr>
          <w:p w14:paraId="2135FE3A" w14:textId="78FEAD6F" w:rsidR="003E20C5" w:rsidRPr="00143F8E" w:rsidRDefault="003E20C5" w:rsidP="00073996">
            <w:r w:rsidRPr="00143F8E">
              <w:t>Jan</w:t>
            </w:r>
            <w:r w:rsidR="00073996">
              <w:t>.</w:t>
            </w:r>
            <w:r w:rsidRPr="00143F8E">
              <w:t xml:space="preserve"> 2020</w:t>
            </w:r>
          </w:p>
        </w:tc>
        <w:tc>
          <w:tcPr>
            <w:tcW w:w="5400" w:type="dxa"/>
          </w:tcPr>
          <w:p w14:paraId="2F66C0E0" w14:textId="39B0AA9A" w:rsidR="003E20C5" w:rsidRPr="00143F8E" w:rsidRDefault="003E20C5" w:rsidP="003E20C5">
            <w:r w:rsidRPr="00143F8E">
              <w:t>Pai tells Members of Congress he is working diligently to issue final decision</w:t>
            </w:r>
          </w:p>
        </w:tc>
      </w:tr>
      <w:tr w:rsidR="003E20C5" w:rsidRPr="00143F8E" w14:paraId="107E92F5" w14:textId="77777777" w:rsidTr="00FD66F8">
        <w:trPr>
          <w:jc w:val="center"/>
        </w:trPr>
        <w:tc>
          <w:tcPr>
            <w:tcW w:w="2155" w:type="dxa"/>
            <w:vAlign w:val="center"/>
          </w:tcPr>
          <w:p w14:paraId="31C51437" w14:textId="06BA8E42" w:rsidR="003E20C5" w:rsidRPr="00143F8E" w:rsidRDefault="003E20C5" w:rsidP="00073996">
            <w:r w:rsidRPr="00143F8E">
              <w:t>April 2020</w:t>
            </w:r>
          </w:p>
        </w:tc>
        <w:tc>
          <w:tcPr>
            <w:tcW w:w="5400" w:type="dxa"/>
          </w:tcPr>
          <w:p w14:paraId="70A54CC2" w14:textId="705CC5EA" w:rsidR="003E20C5" w:rsidRPr="00143F8E" w:rsidRDefault="003E20C5" w:rsidP="003E20C5">
            <w:r w:rsidRPr="00143F8E">
              <w:t>The FCC approves the application</w:t>
            </w:r>
          </w:p>
        </w:tc>
      </w:tr>
    </w:tbl>
    <w:p w14:paraId="233183FD" w14:textId="77777777" w:rsidR="00915654" w:rsidRPr="00143F8E" w:rsidRDefault="00915654" w:rsidP="00915654"/>
    <w:p w14:paraId="0C252747" w14:textId="0738F6E2" w:rsidR="008B7B33" w:rsidRPr="00143F8E" w:rsidRDefault="008B7B33" w:rsidP="00490AB8">
      <w:pPr>
        <w:pStyle w:val="ListParagraph"/>
        <w:numPr>
          <w:ilvl w:val="0"/>
          <w:numId w:val="16"/>
        </w:numPr>
      </w:pPr>
      <w:r w:rsidRPr="00143F8E">
        <w:t xml:space="preserve">After considering all the comments and inputs into the public record over a 17-year period, including the DOT study (which was publicly released on April 26, 2018), the FCC drafted an Order </w:t>
      </w:r>
      <w:r w:rsidR="00A6231C" w:rsidRPr="00143F8E">
        <w:t xml:space="preserve">approving Ligado’s application </w:t>
      </w:r>
      <w:r w:rsidRPr="00143F8E">
        <w:t>and sent it to federal agencies in mid-October 2019 for review and feedback. (Note</w:t>
      </w:r>
      <w:r w:rsidR="00F50229" w:rsidRPr="00143F8E">
        <w:t>:</w:t>
      </w:r>
      <w:r w:rsidRPr="00143F8E">
        <w:t xml:space="preserve"> January</w:t>
      </w:r>
      <w:r w:rsidR="00586FBD" w:rsidRPr="00143F8E">
        <w:t xml:space="preserve"> 2020</w:t>
      </w:r>
      <w:r w:rsidRPr="00143F8E">
        <w:t xml:space="preserve"> </w:t>
      </w:r>
      <w:hyperlink r:id="rId10" w:history="1">
        <w:r w:rsidRPr="00143F8E">
          <w:rPr>
            <w:rStyle w:val="Hyperlink"/>
            <w:rFonts w:ascii="Arial" w:hAnsi="Arial"/>
            <w:color w:val="auto"/>
          </w:rPr>
          <w:t>reply correspondence</w:t>
        </w:r>
      </w:hyperlink>
      <w:r w:rsidRPr="00143F8E">
        <w:t xml:space="preserve"> from FCC Chairman Pai to a</w:t>
      </w:r>
      <w:r w:rsidR="00A3494C" w:rsidRPr="00143F8E">
        <w:t>n</w:t>
      </w:r>
      <w:r w:rsidRPr="00143F8E">
        <w:t xml:space="preserve"> October 28, 2019 letter from Senators Marsha Blackburn and Mark Warner: “Before receiving </w:t>
      </w:r>
      <w:r w:rsidRPr="00143F8E">
        <w:lastRenderedPageBreak/>
        <w:t xml:space="preserve">your letter, I submitted to the </w:t>
      </w:r>
      <w:proofErr w:type="spellStart"/>
      <w:r w:rsidRPr="00143F8E">
        <w:t>Interdepartment</w:t>
      </w:r>
      <w:proofErr w:type="spellEnd"/>
      <w:r w:rsidRPr="00143F8E">
        <w:t xml:space="preserve"> Radio Advisory Committee (</w:t>
      </w:r>
      <w:r w:rsidR="00586FBD" w:rsidRPr="00143F8E">
        <w:t>“</w:t>
      </w:r>
      <w:r w:rsidRPr="00143F8E">
        <w:t>IRAC</w:t>
      </w:r>
      <w:r w:rsidR="00586FBD" w:rsidRPr="00143F8E">
        <w:t>”</w:t>
      </w:r>
      <w:r w:rsidRPr="00143F8E">
        <w:t>), headed by the Department of Commerce’s National Telecommunications and Information Administration, a draft FCC decision resolving Ligado’s request.”)</w:t>
      </w:r>
    </w:p>
    <w:p w14:paraId="2F63E709" w14:textId="77777777" w:rsidR="00670521" w:rsidRPr="00143F8E" w:rsidRDefault="00670521" w:rsidP="00092B9A">
      <w:pPr>
        <w:pStyle w:val="ListParagraph"/>
      </w:pPr>
    </w:p>
    <w:p w14:paraId="3234CAD3" w14:textId="0B787BC3" w:rsidR="00A6231C" w:rsidRPr="00143F8E" w:rsidRDefault="005B12CA" w:rsidP="00490AB8">
      <w:pPr>
        <w:pStyle w:val="ListParagraph"/>
        <w:numPr>
          <w:ilvl w:val="0"/>
          <w:numId w:val="16"/>
        </w:numPr>
      </w:pPr>
      <w:r w:rsidRPr="00143F8E">
        <w:t xml:space="preserve">Immediately </w:t>
      </w:r>
      <w:r w:rsidR="00A6231C" w:rsidRPr="00143F8E">
        <w:t xml:space="preserve">after the </w:t>
      </w:r>
      <w:r w:rsidRPr="00143F8E">
        <w:t xml:space="preserve">May 6th </w:t>
      </w:r>
      <w:r w:rsidR="00A6231C" w:rsidRPr="00143F8E">
        <w:t>hearing, DoD hearing witnesses admitted to the press that they received the draft Order from the FCC in October 2019.</w:t>
      </w:r>
    </w:p>
    <w:p w14:paraId="2AD00638" w14:textId="77777777" w:rsidR="00670521" w:rsidRPr="00143F8E" w:rsidRDefault="00670521" w:rsidP="00092B9A">
      <w:pPr>
        <w:pStyle w:val="ListParagraph"/>
      </w:pPr>
    </w:p>
    <w:p w14:paraId="71B26DB2" w14:textId="60EE6B37" w:rsidR="00915654" w:rsidRPr="00143F8E" w:rsidRDefault="008B7B33" w:rsidP="00490AB8">
      <w:pPr>
        <w:pStyle w:val="ListParagraph"/>
        <w:numPr>
          <w:ilvl w:val="0"/>
          <w:numId w:val="16"/>
        </w:numPr>
      </w:pPr>
      <w:r w:rsidRPr="00143F8E">
        <w:t>The FCC circulated the Order approving Ligado’s proposal on Thursday, April 16</w:t>
      </w:r>
      <w:r w:rsidR="007B6C80" w:rsidRPr="00143F8E">
        <w:t>, 2020</w:t>
      </w:r>
      <w:r w:rsidRPr="00143F8E">
        <w:t xml:space="preserve">. The FCC </w:t>
      </w:r>
      <w:hyperlink r:id="rId11" w:history="1">
        <w:r w:rsidRPr="00143F8E">
          <w:rPr>
            <w:rStyle w:val="Hyperlink"/>
            <w:rFonts w:ascii="Arial" w:hAnsi="Arial"/>
            <w:color w:val="auto"/>
          </w:rPr>
          <w:t>announced</w:t>
        </w:r>
      </w:hyperlink>
      <w:r w:rsidRPr="00143F8E">
        <w:t xml:space="preserve"> unanimous approval of the Order on Monday, April 20 and publicly released the text of the Order on Wednesday, April 22. As part of its governing process, each Commissioner is allowed to vote at any time after an item is circulated by the FCC Chair. In the case of the Ligado Order, supportive statements made by both </w:t>
      </w:r>
      <w:hyperlink r:id="rId12" w:history="1">
        <w:r w:rsidRPr="00143F8E">
          <w:rPr>
            <w:rStyle w:val="Hyperlink"/>
            <w:rFonts w:ascii="Arial" w:hAnsi="Arial"/>
            <w:color w:val="auto"/>
          </w:rPr>
          <w:t>Republican</w:t>
        </w:r>
      </w:hyperlink>
      <w:r w:rsidRPr="00143F8E">
        <w:t xml:space="preserve"> and </w:t>
      </w:r>
      <w:hyperlink r:id="rId13" w:history="1">
        <w:r w:rsidRPr="00143F8E">
          <w:rPr>
            <w:rStyle w:val="Hyperlink"/>
            <w:rFonts w:ascii="Arial" w:hAnsi="Arial"/>
            <w:color w:val="auto"/>
          </w:rPr>
          <w:t>Democratic</w:t>
        </w:r>
      </w:hyperlink>
      <w:r w:rsidRPr="00143F8E">
        <w:t xml:space="preserve"> Commissioners focused on the “</w:t>
      </w:r>
      <w:hyperlink r:id="rId14" w:history="1">
        <w:r w:rsidRPr="00143F8E">
          <w:rPr>
            <w:rStyle w:val="Hyperlink"/>
            <w:rFonts w:ascii="Arial" w:hAnsi="Arial"/>
            <w:color w:val="auto"/>
          </w:rPr>
          <w:t>thorough</w:t>
        </w:r>
      </w:hyperlink>
      <w:r w:rsidRPr="00143F8E">
        <w:t>,” “</w:t>
      </w:r>
      <w:hyperlink r:id="rId15" w:history="1">
        <w:r w:rsidRPr="00143F8E">
          <w:rPr>
            <w:rStyle w:val="Hyperlink"/>
            <w:rFonts w:ascii="Arial" w:hAnsi="Arial"/>
            <w:color w:val="auto"/>
          </w:rPr>
          <w:t>painstaking</w:t>
        </w:r>
      </w:hyperlink>
      <w:r w:rsidRPr="00143F8E">
        <w:t>,” “multi-year” “expert technical analysis” conducted by the agency’s engineering staff and other spectrum experts.</w:t>
      </w:r>
    </w:p>
    <w:p w14:paraId="7E7CC0E4" w14:textId="77777777" w:rsidR="0030229C" w:rsidRPr="00143F8E" w:rsidRDefault="0030229C" w:rsidP="00FC121A">
      <w:pPr>
        <w:rPr>
          <w:b/>
          <w:u w:val="single"/>
        </w:rPr>
      </w:pPr>
    </w:p>
    <w:p w14:paraId="23BD0235" w14:textId="6CFB446B" w:rsidR="008B7B33" w:rsidRPr="00143F8E" w:rsidRDefault="008B7B33" w:rsidP="00FC121A">
      <w:pPr>
        <w:rPr>
          <w:b/>
          <w:sz w:val="28"/>
          <w:szCs w:val="32"/>
          <w:u w:val="single"/>
        </w:rPr>
      </w:pPr>
      <w:r w:rsidRPr="00143F8E">
        <w:rPr>
          <w:b/>
          <w:sz w:val="28"/>
          <w:szCs w:val="32"/>
          <w:u w:val="single"/>
        </w:rPr>
        <w:t>TESTING</w:t>
      </w:r>
    </w:p>
    <w:p w14:paraId="474CB623" w14:textId="64F42C10" w:rsidR="008B7B33" w:rsidRPr="00143F8E" w:rsidRDefault="008B7B33" w:rsidP="00FC121A"/>
    <w:p w14:paraId="114A4FAD" w14:textId="77777777" w:rsidR="008B7B33" w:rsidRPr="00143F8E" w:rsidRDefault="008B7B33" w:rsidP="008B7B33">
      <w:pPr>
        <w:rPr>
          <w:b/>
          <w:bCs/>
          <w:i/>
        </w:rPr>
      </w:pPr>
      <w:r w:rsidRPr="00143F8E">
        <w:rPr>
          <w:b/>
          <w:bCs/>
          <w:i/>
        </w:rPr>
        <w:t xml:space="preserve">Myth: The DOT included an analysis of a 9.8 </w:t>
      </w:r>
      <w:proofErr w:type="spellStart"/>
      <w:r w:rsidRPr="00143F8E">
        <w:rPr>
          <w:b/>
          <w:bCs/>
          <w:i/>
        </w:rPr>
        <w:t>dBW</w:t>
      </w:r>
      <w:proofErr w:type="spellEnd"/>
      <w:r w:rsidRPr="00143F8E">
        <w:rPr>
          <w:b/>
          <w:bCs/>
          <w:i/>
        </w:rPr>
        <w:t xml:space="preserve"> (10 Watt) transmitter. (</w:t>
      </w:r>
      <w:r w:rsidRPr="00B5094E">
        <w:rPr>
          <w:b/>
          <w:bCs/>
          <w:i/>
        </w:rPr>
        <w:t>Griffin, SASC hearing</w:t>
      </w:r>
      <w:r w:rsidRPr="00143F8E">
        <w:rPr>
          <w:b/>
          <w:bCs/>
          <w:i/>
        </w:rPr>
        <w:t>)</w:t>
      </w:r>
    </w:p>
    <w:p w14:paraId="6ADF5FFC" w14:textId="77777777" w:rsidR="008B7B33" w:rsidRPr="00143F8E" w:rsidRDefault="008B7B33" w:rsidP="008B7B33"/>
    <w:p w14:paraId="5A097388" w14:textId="0F88DFCD" w:rsidR="00447ED2" w:rsidRPr="00143F8E" w:rsidRDefault="008B7B33" w:rsidP="00CB01F3">
      <w:r w:rsidRPr="00143F8E">
        <w:rPr>
          <w:b/>
          <w:u w:val="single"/>
        </w:rPr>
        <w:t>Fact</w:t>
      </w:r>
      <w:r w:rsidRPr="00143F8E">
        <w:rPr>
          <w:u w:val="single"/>
        </w:rPr>
        <w:t>:</w:t>
      </w:r>
      <w:r w:rsidRPr="00143F8E">
        <w:t xml:space="preserve"> The DOT test did </w:t>
      </w:r>
      <w:r w:rsidRPr="00143F8E">
        <w:rPr>
          <w:b/>
          <w:u w:val="single"/>
        </w:rPr>
        <w:t>not</w:t>
      </w:r>
      <w:r w:rsidRPr="00143F8E">
        <w:t xml:space="preserve"> test Ligado’s amended power levels of 9.8 </w:t>
      </w:r>
      <w:proofErr w:type="spellStart"/>
      <w:r w:rsidRPr="00143F8E">
        <w:t>dBW</w:t>
      </w:r>
      <w:proofErr w:type="spellEnd"/>
      <w:r w:rsidRPr="00143F8E">
        <w:t xml:space="preserve"> (10 W)</w:t>
      </w:r>
      <w:r w:rsidR="003A24E1" w:rsidRPr="00143F8E">
        <w:t>,</w:t>
      </w:r>
      <w:r w:rsidR="003B61B8" w:rsidRPr="00143F8E">
        <w:t xml:space="preserve"> and the DOT Study in the record plainly establishes that </w:t>
      </w:r>
      <w:r w:rsidR="00373F27" w:rsidRPr="00143F8E">
        <w:t xml:space="preserve">DOT did </w:t>
      </w:r>
      <w:r w:rsidR="00373F27" w:rsidRPr="00143F8E">
        <w:rPr>
          <w:u w:val="single"/>
        </w:rPr>
        <w:t>not</w:t>
      </w:r>
      <w:r w:rsidR="00373F27" w:rsidRPr="00143F8E">
        <w:t xml:space="preserve"> conduct tests at that amended power level.  </w:t>
      </w:r>
      <w:r w:rsidR="003B61B8" w:rsidRPr="00143F8E">
        <w:t xml:space="preserve">Instead, DOT tested a power level of </w:t>
      </w:r>
      <w:r w:rsidR="003B61B8" w:rsidRPr="00C64808">
        <w:t xml:space="preserve">32 </w:t>
      </w:r>
      <w:proofErr w:type="spellStart"/>
      <w:r w:rsidR="003B61B8" w:rsidRPr="00C64808">
        <w:t>dBW</w:t>
      </w:r>
      <w:proofErr w:type="spellEnd"/>
      <w:r w:rsidR="003B61B8" w:rsidRPr="00C64808">
        <w:t xml:space="preserve">, or a power level that is </w:t>
      </w:r>
      <w:r w:rsidR="00A6231C" w:rsidRPr="00C64808">
        <w:t>99</w:t>
      </w:r>
      <w:r w:rsidR="003B61B8" w:rsidRPr="00C64808">
        <w:t>%</w:t>
      </w:r>
      <w:r w:rsidR="003B61B8" w:rsidRPr="00143F8E">
        <w:t xml:space="preserve"> higher</w:t>
      </w:r>
      <w:r w:rsidR="00A6231C" w:rsidRPr="00143F8E">
        <w:t xml:space="preserve"> than the approved power level</w:t>
      </w:r>
      <w:r w:rsidR="003B61B8" w:rsidRPr="00143F8E">
        <w:t xml:space="preserve">.  </w:t>
      </w:r>
      <w:r w:rsidRPr="00143F8E">
        <w:t>Separate from the DOT testing, it was the FAA that assessed th</w:t>
      </w:r>
      <w:r w:rsidR="00C76FB1" w:rsidRPr="00143F8E">
        <w:t xml:space="preserve">e Ligado proposal and </w:t>
      </w:r>
      <w:r w:rsidR="00C76FB1" w:rsidRPr="00143F8E">
        <w:rPr>
          <w:b/>
          <w:u w:val="single"/>
        </w:rPr>
        <w:t>determined</w:t>
      </w:r>
      <w:r w:rsidR="00C76FB1" w:rsidRPr="00143F8E">
        <w:t xml:space="preserve"> that </w:t>
      </w:r>
      <w:r w:rsidRPr="00143F8E">
        <w:t xml:space="preserve">a terrestrial power level of 9.8 </w:t>
      </w:r>
      <w:proofErr w:type="spellStart"/>
      <w:r w:rsidRPr="00143F8E">
        <w:t>dBW</w:t>
      </w:r>
      <w:proofErr w:type="spellEnd"/>
      <w:r w:rsidRPr="00143F8E">
        <w:t xml:space="preserve"> w</w:t>
      </w:r>
      <w:r w:rsidR="00C76FB1" w:rsidRPr="00143F8E">
        <w:t>as the exact level</w:t>
      </w:r>
      <w:r w:rsidRPr="00143F8E">
        <w:t xml:space="preserve"> </w:t>
      </w:r>
      <w:r w:rsidR="007B6C80" w:rsidRPr="00143F8E">
        <w:t xml:space="preserve">necessary </w:t>
      </w:r>
      <w:r w:rsidRPr="00143F8E">
        <w:t>to protect certified aviation devices.</w:t>
      </w:r>
      <w:r w:rsidR="00A6231C" w:rsidRPr="00143F8E">
        <w:t xml:space="preserve"> The NASCTN study, on the other hand, tested </w:t>
      </w:r>
      <w:r w:rsidR="003A334F" w:rsidRPr="00143F8E">
        <w:t xml:space="preserve">devices at incremental </w:t>
      </w:r>
      <w:r w:rsidR="00A6231C" w:rsidRPr="00143F8E">
        <w:t>power level</w:t>
      </w:r>
      <w:r w:rsidR="003A334F" w:rsidRPr="00143F8E">
        <w:t>s</w:t>
      </w:r>
      <w:r w:rsidR="00A6231C" w:rsidRPr="00143F8E">
        <w:t xml:space="preserve"> in order to be able to </w:t>
      </w:r>
      <w:r w:rsidR="003A334F" w:rsidRPr="00143F8E">
        <w:t xml:space="preserve">generate data that could </w:t>
      </w:r>
      <w:r w:rsidR="00A6231C" w:rsidRPr="00143F8E">
        <w:t xml:space="preserve">assess device performance at </w:t>
      </w:r>
      <w:r w:rsidR="003A334F" w:rsidRPr="00143F8E">
        <w:t xml:space="preserve">different power levels including 9.8 </w:t>
      </w:r>
      <w:proofErr w:type="spellStart"/>
      <w:r w:rsidR="003A334F" w:rsidRPr="00143F8E">
        <w:t>dBW</w:t>
      </w:r>
      <w:proofErr w:type="spellEnd"/>
      <w:r w:rsidR="003A334F" w:rsidRPr="00143F8E">
        <w:t xml:space="preserve">. </w:t>
      </w:r>
      <w:r w:rsidR="00A6231C" w:rsidRPr="00143F8E">
        <w:t xml:space="preserve"> </w:t>
      </w:r>
    </w:p>
    <w:p w14:paraId="67608B1A" w14:textId="77777777" w:rsidR="00447ED2" w:rsidRPr="00143F8E" w:rsidRDefault="00447ED2" w:rsidP="00CB01F3"/>
    <w:p w14:paraId="44C0B765" w14:textId="1B07A8A7" w:rsidR="00447ED2" w:rsidRPr="00B5094E" w:rsidRDefault="00447ED2" w:rsidP="00CB01F3">
      <w:r w:rsidRPr="00143F8E">
        <w:rPr>
          <w:b/>
          <w:i/>
        </w:rPr>
        <w:t>Myth</w:t>
      </w:r>
      <w:r w:rsidRPr="00143F8E">
        <w:rPr>
          <w:i/>
        </w:rPr>
        <w:t xml:space="preserve">: </w:t>
      </w:r>
      <w:r w:rsidRPr="00143F8E">
        <w:rPr>
          <w:b/>
          <w:bCs/>
          <w:i/>
        </w:rPr>
        <w:t>The U.S. Air Force submitted its technical study and analysis to the FCC for consideration.</w:t>
      </w:r>
      <w:r w:rsidR="00B5094E">
        <w:rPr>
          <w:b/>
          <w:bCs/>
          <w:i/>
        </w:rPr>
        <w:t xml:space="preserve"> </w:t>
      </w:r>
      <w:r w:rsidR="00B5094E" w:rsidRPr="00ED5E39">
        <w:rPr>
          <w:b/>
          <w:bCs/>
          <w:i/>
        </w:rPr>
        <w:t>(</w:t>
      </w:r>
      <w:proofErr w:type="spellStart"/>
      <w:r w:rsidR="00B5094E" w:rsidRPr="00ED5E39">
        <w:rPr>
          <w:b/>
          <w:bCs/>
          <w:i/>
        </w:rPr>
        <w:t>Deasy</w:t>
      </w:r>
      <w:proofErr w:type="spellEnd"/>
      <w:r w:rsidR="00B5094E" w:rsidRPr="00ED5E39">
        <w:rPr>
          <w:b/>
          <w:bCs/>
          <w:i/>
        </w:rPr>
        <w:t>, SASC Hearing)</w:t>
      </w:r>
    </w:p>
    <w:p w14:paraId="15ED05EC" w14:textId="77777777" w:rsidR="00447ED2" w:rsidRPr="00143F8E" w:rsidRDefault="00447ED2" w:rsidP="00CB01F3"/>
    <w:p w14:paraId="3AD0E1F8" w14:textId="4068465F" w:rsidR="00447ED2" w:rsidRPr="00143F8E" w:rsidRDefault="0020743B" w:rsidP="00CB01F3">
      <w:r w:rsidRPr="00143F8E">
        <w:rPr>
          <w:b/>
          <w:u w:val="single"/>
        </w:rPr>
        <w:t>Fact</w:t>
      </w:r>
      <w:r w:rsidRPr="00143F8E">
        <w:rPr>
          <w:u w:val="single"/>
        </w:rPr>
        <w:t>:</w:t>
      </w:r>
      <w:r w:rsidR="00083305" w:rsidRPr="00143F8E">
        <w:t xml:space="preserve"> </w:t>
      </w:r>
      <w:r w:rsidR="003A24E1" w:rsidRPr="00143F8E">
        <w:t>The Air Force did not submit its technical study to the FCC</w:t>
      </w:r>
      <w:r w:rsidR="003A334F" w:rsidRPr="00143F8E">
        <w:t xml:space="preserve"> but it did brief the House Armed Services Committee, and based on that briefing the NDAA was amended to enable the FCC to make</w:t>
      </w:r>
      <w:r w:rsidR="00C64808">
        <w:t xml:space="preserve"> </w:t>
      </w:r>
      <w:r w:rsidR="003A334F" w:rsidRPr="00143F8E">
        <w:t>a</w:t>
      </w:r>
      <w:r w:rsidR="00C64808">
        <w:t xml:space="preserve"> </w:t>
      </w:r>
      <w:r w:rsidR="003A334F" w:rsidRPr="00143F8E">
        <w:t>decision on this spectrum</w:t>
      </w:r>
      <w:r w:rsidR="003A24E1" w:rsidRPr="00143F8E">
        <w:t xml:space="preserve">. </w:t>
      </w:r>
      <w:r w:rsidR="00D32238" w:rsidRPr="00143F8E">
        <w:t xml:space="preserve">Although Air Force testing of military GPS receivers in April 2016 was mentioned publicly several times, </w:t>
      </w:r>
      <w:r w:rsidR="00B5001B" w:rsidRPr="00143F8E">
        <w:t xml:space="preserve">the </w:t>
      </w:r>
      <w:r w:rsidR="007A0975" w:rsidRPr="00143F8E">
        <w:t>FCC</w:t>
      </w:r>
      <w:r w:rsidR="00D32238" w:rsidRPr="00143F8E">
        <w:t xml:space="preserve"> </w:t>
      </w:r>
      <w:r w:rsidR="007A0975" w:rsidRPr="00143F8E">
        <w:t xml:space="preserve">Order explicitly states the </w:t>
      </w:r>
      <w:r w:rsidR="007A0975" w:rsidRPr="00143F8E">
        <w:rPr>
          <w:b/>
          <w:bCs/>
        </w:rPr>
        <w:t xml:space="preserve">Air Force never </w:t>
      </w:r>
      <w:r w:rsidR="00FC34F6" w:rsidRPr="00143F8E">
        <w:rPr>
          <w:b/>
          <w:bCs/>
        </w:rPr>
        <w:t>submitted</w:t>
      </w:r>
      <w:r w:rsidR="007A0975" w:rsidRPr="00143F8E">
        <w:rPr>
          <w:b/>
          <w:bCs/>
        </w:rPr>
        <w:t xml:space="preserve"> </w:t>
      </w:r>
      <w:r w:rsidR="00D32238" w:rsidRPr="00143F8E">
        <w:rPr>
          <w:b/>
          <w:bCs/>
        </w:rPr>
        <w:t xml:space="preserve">the </w:t>
      </w:r>
      <w:r w:rsidR="008D6228" w:rsidRPr="00143F8E">
        <w:rPr>
          <w:b/>
          <w:bCs/>
        </w:rPr>
        <w:t xml:space="preserve">study </w:t>
      </w:r>
      <w:r w:rsidR="00D32238" w:rsidRPr="00143F8E">
        <w:rPr>
          <w:b/>
          <w:bCs/>
        </w:rPr>
        <w:t xml:space="preserve">nor </w:t>
      </w:r>
      <w:r w:rsidR="008D6228" w:rsidRPr="00143F8E">
        <w:rPr>
          <w:b/>
          <w:bCs/>
        </w:rPr>
        <w:t>any</w:t>
      </w:r>
      <w:r w:rsidR="00D32238" w:rsidRPr="00143F8E">
        <w:rPr>
          <w:b/>
          <w:bCs/>
        </w:rPr>
        <w:t xml:space="preserve"> technical data </w:t>
      </w:r>
      <w:r w:rsidR="00FC34F6" w:rsidRPr="00143F8E">
        <w:rPr>
          <w:b/>
          <w:bCs/>
        </w:rPr>
        <w:t xml:space="preserve">to </w:t>
      </w:r>
      <w:r w:rsidR="00D32238" w:rsidRPr="00143F8E">
        <w:rPr>
          <w:b/>
          <w:bCs/>
        </w:rPr>
        <w:t>the FCC</w:t>
      </w:r>
      <w:r w:rsidR="007A0975" w:rsidRPr="00143F8E">
        <w:rPr>
          <w:b/>
          <w:bCs/>
        </w:rPr>
        <w:t xml:space="preserve"> record for consideration</w:t>
      </w:r>
      <w:r w:rsidR="00D32238" w:rsidRPr="00143F8E">
        <w:t xml:space="preserve">. </w:t>
      </w:r>
      <w:r w:rsidR="003A24E1" w:rsidRPr="00143F8E">
        <w:t>The</w:t>
      </w:r>
      <w:r w:rsidR="00373F27" w:rsidRPr="00143F8E">
        <w:t xml:space="preserve"> only mention </w:t>
      </w:r>
      <w:r w:rsidR="003A24E1" w:rsidRPr="00143F8E">
        <w:t xml:space="preserve">of the Air Force test </w:t>
      </w:r>
      <w:r w:rsidR="00373F27" w:rsidRPr="00143F8E">
        <w:t>is in a</w:t>
      </w:r>
      <w:r w:rsidR="00B5001B" w:rsidRPr="00143F8E">
        <w:t xml:space="preserve">a </w:t>
      </w:r>
      <w:r w:rsidR="00D32238" w:rsidRPr="00143F8E">
        <w:t>footnote</w:t>
      </w:r>
      <w:r w:rsidR="00B5001B" w:rsidRPr="00143F8E">
        <w:t xml:space="preserve"> of</w:t>
      </w:r>
      <w:r w:rsidR="00D32238" w:rsidRPr="00143F8E">
        <w:t xml:space="preserve"> a February 14, 2020 Air Force memo to IRAC/NTIA</w:t>
      </w:r>
      <w:r w:rsidR="00B5001B" w:rsidRPr="00143F8E">
        <w:t xml:space="preserve"> which was communicated to the FCC for the first time via an NTIA letter on April 10, 2020</w:t>
      </w:r>
      <w:r w:rsidR="00D32238" w:rsidRPr="00143F8E">
        <w:t>: “These tests, the results of which are classified, supported the conclusions drawn from the DOT testing at WSMR conducted during the same month.”</w:t>
      </w:r>
      <w:r w:rsidR="00373F27" w:rsidRPr="00143F8E">
        <w:t xml:space="preserve">  There is no </w:t>
      </w:r>
      <w:r w:rsidR="003A24E1" w:rsidRPr="00143F8E">
        <w:t xml:space="preserve">technical </w:t>
      </w:r>
      <w:r w:rsidR="00373F27" w:rsidRPr="00143F8E">
        <w:t xml:space="preserve">data, no results, no information about the test plan -- in short no basis for an agency </w:t>
      </w:r>
      <w:r w:rsidR="003A24E1" w:rsidRPr="00143F8E">
        <w:t xml:space="preserve">to </w:t>
      </w:r>
      <w:r w:rsidR="00373F27" w:rsidRPr="00143F8E">
        <w:t xml:space="preserve">engage in reasoned decision-making on the record to respond.  </w:t>
      </w:r>
    </w:p>
    <w:p w14:paraId="2DBA2DAD" w14:textId="77777777" w:rsidR="00447ED2" w:rsidRPr="00143F8E" w:rsidRDefault="00447ED2" w:rsidP="00CB01F3"/>
    <w:p w14:paraId="2D51BFD3" w14:textId="22D1E70D" w:rsidR="00447ED2" w:rsidRPr="00143F8E" w:rsidRDefault="00D816A6" w:rsidP="00CB01F3">
      <w:pPr>
        <w:pStyle w:val="ListParagraph"/>
        <w:numPr>
          <w:ilvl w:val="0"/>
          <w:numId w:val="27"/>
        </w:numPr>
      </w:pPr>
      <w:r w:rsidRPr="00143F8E">
        <w:t xml:space="preserve">The </w:t>
      </w:r>
      <w:hyperlink r:id="rId16" w:anchor="page=3" w:history="1">
        <w:r w:rsidRPr="00143F8E">
          <w:rPr>
            <w:rStyle w:val="Hyperlink"/>
            <w:rFonts w:ascii="Arial" w:hAnsi="Arial"/>
            <w:color w:val="auto"/>
          </w:rPr>
          <w:t>DOT Report</w:t>
        </w:r>
      </w:hyperlink>
      <w:r w:rsidRPr="00143F8E">
        <w:t>, released April 26, 2018,</w:t>
      </w:r>
      <w:r w:rsidR="00373F27" w:rsidRPr="00143F8E">
        <w:t xml:space="preserve"> in passing</w:t>
      </w:r>
      <w:r w:rsidRPr="00143F8E">
        <w:t xml:space="preserve"> noted the “Air Force GPS Directorate conducted testing of military GPS receivers the week prior to the civil receivers being tested (in April of 2016).” </w:t>
      </w:r>
      <w:r w:rsidR="00373F27" w:rsidRPr="00143F8E">
        <w:t>Importantly</w:t>
      </w:r>
      <w:r w:rsidR="00135436">
        <w:t xml:space="preserve">, </w:t>
      </w:r>
      <w:r w:rsidRPr="00143F8E">
        <w:t xml:space="preserve">the FCC </w:t>
      </w:r>
      <w:r w:rsidR="00373F27" w:rsidRPr="00143F8E">
        <w:t xml:space="preserve">Order observed </w:t>
      </w:r>
      <w:r w:rsidRPr="00143F8E">
        <w:t>the DOT report “only provided a summary of the data collected in the tests and did not provide the raw data that may have enabled some insight into the variation in the C/N</w:t>
      </w:r>
      <w:r w:rsidRPr="00143F8E">
        <w:rPr>
          <w:vertAlign w:val="subscript"/>
        </w:rPr>
        <w:t>0,</w:t>
      </w:r>
      <w:r w:rsidRPr="00143F8E">
        <w:t>” as well as “other significant measurement uncertainties.” (FCC Order ¶53)</w:t>
      </w:r>
    </w:p>
    <w:p w14:paraId="4A61EB08" w14:textId="77777777" w:rsidR="00EB465A" w:rsidRPr="00143F8E" w:rsidRDefault="00EB465A" w:rsidP="00EB465A"/>
    <w:p w14:paraId="29826A8D" w14:textId="60F9FBF9" w:rsidR="00EB465A" w:rsidRPr="00ED5E39" w:rsidRDefault="00EB465A" w:rsidP="00EB465A">
      <w:pPr>
        <w:rPr>
          <w:b/>
          <w:bCs/>
          <w:i/>
        </w:rPr>
      </w:pPr>
      <w:r w:rsidRPr="00143F8E">
        <w:rPr>
          <w:b/>
          <w:bCs/>
          <w:i/>
        </w:rPr>
        <w:t>Myth: The NASCTN tests were not conducted in a transparent manner</w:t>
      </w:r>
      <w:r w:rsidR="00726547" w:rsidRPr="00143F8E">
        <w:rPr>
          <w:b/>
          <w:bCs/>
          <w:i/>
        </w:rPr>
        <w:t xml:space="preserve"> and should not be relied on because </w:t>
      </w:r>
      <w:r w:rsidR="00E47250" w:rsidRPr="00143F8E">
        <w:rPr>
          <w:b/>
          <w:bCs/>
          <w:i/>
        </w:rPr>
        <w:t>they</w:t>
      </w:r>
      <w:r w:rsidR="00726547" w:rsidRPr="00143F8E">
        <w:rPr>
          <w:b/>
          <w:bCs/>
          <w:i/>
        </w:rPr>
        <w:t xml:space="preserve"> w</w:t>
      </w:r>
      <w:r w:rsidR="00E47250" w:rsidRPr="00143F8E">
        <w:rPr>
          <w:b/>
          <w:bCs/>
          <w:i/>
        </w:rPr>
        <w:t xml:space="preserve">ere </w:t>
      </w:r>
      <w:r w:rsidR="00726547" w:rsidRPr="00143F8E">
        <w:rPr>
          <w:b/>
          <w:bCs/>
          <w:i/>
        </w:rPr>
        <w:t xml:space="preserve">funded by </w:t>
      </w:r>
      <w:proofErr w:type="spellStart"/>
      <w:r w:rsidR="00726547" w:rsidRPr="00143F8E">
        <w:rPr>
          <w:b/>
          <w:bCs/>
          <w:i/>
        </w:rPr>
        <w:t>Ligado</w:t>
      </w:r>
      <w:proofErr w:type="spellEnd"/>
      <w:r w:rsidR="00E47250" w:rsidRPr="00143F8E">
        <w:rPr>
          <w:b/>
          <w:bCs/>
          <w:i/>
        </w:rPr>
        <w:t>.</w:t>
      </w:r>
      <w:r w:rsidR="00B5094E">
        <w:rPr>
          <w:b/>
          <w:bCs/>
          <w:i/>
        </w:rPr>
        <w:t xml:space="preserve"> </w:t>
      </w:r>
      <w:r w:rsidR="00B5094E" w:rsidRPr="00ED5E39">
        <w:rPr>
          <w:b/>
          <w:bCs/>
          <w:i/>
        </w:rPr>
        <w:t>(Allen, SASC Hearing)</w:t>
      </w:r>
    </w:p>
    <w:p w14:paraId="74426979" w14:textId="32D54477" w:rsidR="0004360C" w:rsidRPr="00143F8E" w:rsidRDefault="0004360C" w:rsidP="00EB465A">
      <w:pPr>
        <w:rPr>
          <w:b/>
          <w:bCs/>
        </w:rPr>
      </w:pPr>
    </w:p>
    <w:p w14:paraId="7A71A6EB" w14:textId="1EF6A037" w:rsidR="00ED7848" w:rsidRPr="00143F8E" w:rsidRDefault="0004360C" w:rsidP="00ED7848">
      <w:r w:rsidRPr="00143F8E">
        <w:rPr>
          <w:b/>
          <w:u w:val="single"/>
        </w:rPr>
        <w:t>Fact</w:t>
      </w:r>
      <w:r w:rsidR="00CE514E" w:rsidRPr="00143F8E">
        <w:rPr>
          <w:b/>
          <w:u w:val="single"/>
        </w:rPr>
        <w:t>s</w:t>
      </w:r>
      <w:r w:rsidRPr="00143F8E">
        <w:t>:</w:t>
      </w:r>
      <w:r w:rsidR="00D816A6" w:rsidRPr="00143F8E">
        <w:t xml:space="preserve">  </w:t>
      </w:r>
      <w:r w:rsidR="002B19A3" w:rsidRPr="00143F8E">
        <w:t xml:space="preserve">The National Advanced Spectrum and Communications Test Network (“NASCTN”), administered with the oversight of </w:t>
      </w:r>
      <w:r w:rsidR="00B257B1" w:rsidRPr="00143F8E">
        <w:t>DoD</w:t>
      </w:r>
      <w:r w:rsidR="002B19A3" w:rsidRPr="00143F8E">
        <w:t xml:space="preserve"> and the Commerce Department, has the mission of providing scientific and unbiased analyses on spectrum matters.</w:t>
      </w:r>
      <w:r w:rsidR="00B257B1" w:rsidRPr="00143F8E">
        <w:t xml:space="preserve"> In fact, DoD directed</w:t>
      </w:r>
      <w:r w:rsidR="00A6231C" w:rsidRPr="00143F8E">
        <w:t xml:space="preserve"> Ligado to perform</w:t>
      </w:r>
      <w:r w:rsidR="00B257B1" w:rsidRPr="00143F8E">
        <w:t xml:space="preserve"> the testing it now claims was not transparent</w:t>
      </w:r>
      <w:r w:rsidR="00A6231C" w:rsidRPr="00143F8E">
        <w:t xml:space="preserve"> and DoD contractors participated in the testing</w:t>
      </w:r>
      <w:r w:rsidR="00B257B1" w:rsidRPr="00143F8E">
        <w:t>.</w:t>
      </w:r>
      <w:r w:rsidR="002B19A3" w:rsidRPr="00143F8E">
        <w:t xml:space="preserve"> </w:t>
      </w:r>
      <w:r w:rsidR="00ED7848" w:rsidRPr="00143F8E">
        <w:t xml:space="preserve">Before the test plan was even </w:t>
      </w:r>
      <w:r w:rsidR="00ED7848" w:rsidRPr="00143F8E">
        <w:lastRenderedPageBreak/>
        <w:t>finalized, the team at NASCTN “received 159 comments from 10 different organizations, including spectrum regulators, federal agencies, GPS manufacturers and the general public.  The draft test plan, the revised test plan, and the adjudicated comments from the review process are all publicly available on the NASCTN website.” (</w:t>
      </w:r>
      <w:hyperlink r:id="rId17" w:anchor="page=10" w:history="1">
        <w:r w:rsidR="00ED7848" w:rsidRPr="00143F8E">
          <w:rPr>
            <w:rStyle w:val="Hyperlink"/>
            <w:rFonts w:ascii="Arial" w:hAnsi="Arial"/>
            <w:color w:val="auto"/>
          </w:rPr>
          <w:t>NASCTN Report</w:t>
        </w:r>
      </w:hyperlink>
      <w:r w:rsidR="00ED7848" w:rsidRPr="00143F8E">
        <w:t>)</w:t>
      </w:r>
    </w:p>
    <w:p w14:paraId="79934D27" w14:textId="4187DCD8" w:rsidR="00ED7848" w:rsidRPr="00143F8E" w:rsidRDefault="00ED7848" w:rsidP="00CE514E"/>
    <w:p w14:paraId="6A4EF763" w14:textId="528DD846" w:rsidR="00ED7848" w:rsidRPr="00143F8E" w:rsidRDefault="00ED7848" w:rsidP="00ED7848">
      <w:pPr>
        <w:numPr>
          <w:ilvl w:val="0"/>
          <w:numId w:val="19"/>
        </w:numPr>
      </w:pPr>
      <w:r w:rsidRPr="00143F8E">
        <w:t xml:space="preserve">NASCTN won a </w:t>
      </w:r>
      <w:hyperlink r:id="rId18" w:history="1">
        <w:r w:rsidRPr="00143F8E">
          <w:rPr>
            <w:rStyle w:val="Hyperlink"/>
            <w:rFonts w:ascii="Arial" w:hAnsi="Arial"/>
            <w:color w:val="auto"/>
          </w:rPr>
          <w:t>Department of Commerce Gold Medal Award</w:t>
        </w:r>
      </w:hyperlink>
      <w:r w:rsidRPr="00143F8E">
        <w:t xml:space="preserve"> in 2017 for this breakthrough testing.</w:t>
      </w:r>
    </w:p>
    <w:p w14:paraId="26AEE0E1" w14:textId="77777777" w:rsidR="00490AB8" w:rsidRPr="00143F8E" w:rsidRDefault="00490AB8" w:rsidP="00490AB8">
      <w:pPr>
        <w:ind w:left="720"/>
      </w:pPr>
    </w:p>
    <w:p w14:paraId="63DE75D1" w14:textId="18828863" w:rsidR="00D816A6" w:rsidRPr="00143F8E" w:rsidRDefault="00D816A6" w:rsidP="00ED7848">
      <w:pPr>
        <w:numPr>
          <w:ilvl w:val="0"/>
          <w:numId w:val="19"/>
        </w:numPr>
      </w:pPr>
      <w:r w:rsidRPr="00143F8E">
        <w:t>NASCTN is administered by D</w:t>
      </w:r>
      <w:r w:rsidR="002B19A3" w:rsidRPr="00143F8E">
        <w:t>o</w:t>
      </w:r>
      <w:r w:rsidRPr="00143F8E">
        <w:t>D and the Department of Commerce and was established to provide “</w:t>
      </w:r>
      <w:hyperlink r:id="rId19" w:history="1">
        <w:r w:rsidRPr="00143F8E">
          <w:rPr>
            <w:rStyle w:val="Hyperlink"/>
            <w:rFonts w:ascii="Arial" w:hAnsi="Arial"/>
            <w:color w:val="auto"/>
          </w:rPr>
          <w:t>accurate, reliable, rigorously scientific, and unbiased measurements and analyses</w:t>
        </w:r>
      </w:hyperlink>
      <w:r w:rsidRPr="00143F8E">
        <w:t>” in technical spectrum matters.</w:t>
      </w:r>
      <w:r w:rsidR="002B19A3" w:rsidRPr="00143F8E">
        <w:t xml:space="preserve"> </w:t>
      </w:r>
      <w:r w:rsidR="00B257B1" w:rsidRPr="00143F8E">
        <w:t>DoD</w:t>
      </w:r>
      <w:r w:rsidR="002B19A3" w:rsidRPr="00143F8E">
        <w:t xml:space="preserve"> and Commerce maintained an awareness and oversight of the testing</w:t>
      </w:r>
      <w:r w:rsidR="00B257B1" w:rsidRPr="00143F8E">
        <w:t xml:space="preserve">, which DoD provided comments to during the process. </w:t>
      </w:r>
    </w:p>
    <w:p w14:paraId="4271CF99" w14:textId="77777777" w:rsidR="00490AB8" w:rsidRPr="00143F8E" w:rsidRDefault="00490AB8" w:rsidP="00490AB8">
      <w:pPr>
        <w:pStyle w:val="ListParagraph"/>
      </w:pPr>
    </w:p>
    <w:p w14:paraId="7511FF5B" w14:textId="62B6FA6E" w:rsidR="00D816A6" w:rsidRPr="00143F8E" w:rsidRDefault="00D816A6" w:rsidP="00490AB8">
      <w:pPr>
        <w:numPr>
          <w:ilvl w:val="0"/>
          <w:numId w:val="19"/>
        </w:numPr>
      </w:pPr>
      <w:r w:rsidRPr="00143F8E">
        <w:t xml:space="preserve">The test plan and design were developed independently by NASCTN without Ligado input and, in fact, </w:t>
      </w:r>
      <w:hyperlink r:id="rId20" w:anchor="page=8" w:history="1">
        <w:r w:rsidRPr="00143F8E">
          <w:rPr>
            <w:rStyle w:val="Hyperlink"/>
            <w:rFonts w:ascii="Arial" w:hAnsi="Arial"/>
            <w:color w:val="auto"/>
          </w:rPr>
          <w:t>involved the input</w:t>
        </w:r>
      </w:hyperlink>
      <w:r w:rsidRPr="00143F8E">
        <w:t xml:space="preserve"> of engineers at F</w:t>
      </w:r>
      <w:r w:rsidR="003A24E1" w:rsidRPr="00143F8E">
        <w:t>ort</w:t>
      </w:r>
      <w:r w:rsidRPr="00143F8E">
        <w:t xml:space="preserve"> Huachuca’s Electronic Proving Grounds, “the U.S. Army’s organization for testing command, communications, control, computer, and intelligence systems and equipment including testing of global positioning system (GPS) receivers.”</w:t>
      </w:r>
    </w:p>
    <w:p w14:paraId="499AA9CE" w14:textId="77777777" w:rsidR="00490AB8" w:rsidRPr="00143F8E" w:rsidRDefault="00490AB8" w:rsidP="00490AB8">
      <w:pPr>
        <w:pStyle w:val="ListParagraph"/>
      </w:pPr>
    </w:p>
    <w:p w14:paraId="0E9B9EF7" w14:textId="0848D325" w:rsidR="00D816A6" w:rsidRPr="00143F8E" w:rsidRDefault="00CE514E" w:rsidP="00490AB8">
      <w:pPr>
        <w:numPr>
          <w:ilvl w:val="0"/>
          <w:numId w:val="19"/>
        </w:numPr>
      </w:pPr>
      <w:r w:rsidRPr="00143F8E">
        <w:t xml:space="preserve">Ligado submitted its proposal to testing at NASCTN at the specific request of </w:t>
      </w:r>
      <w:r w:rsidR="00D816A6" w:rsidRPr="00143F8E">
        <w:t>Fred Moorefield and the</w:t>
      </w:r>
      <w:r w:rsidRPr="00143F8E">
        <w:t xml:space="preserve"> </w:t>
      </w:r>
      <w:r w:rsidR="00B257B1" w:rsidRPr="00143F8E">
        <w:t>DoD</w:t>
      </w:r>
      <w:r w:rsidRPr="00143F8E">
        <w:t>’s Chief Information Office</w:t>
      </w:r>
      <w:r w:rsidR="00C70AEE" w:rsidRPr="00143F8E">
        <w:t>, who was part of the D</w:t>
      </w:r>
      <w:r w:rsidR="002B19A3" w:rsidRPr="00143F8E">
        <w:t>o</w:t>
      </w:r>
      <w:r w:rsidR="00C70AEE" w:rsidRPr="00143F8E">
        <w:t>D contingent at the recent Senate hearing</w:t>
      </w:r>
      <w:r w:rsidRPr="00143F8E">
        <w:t xml:space="preserve">. </w:t>
      </w:r>
      <w:r w:rsidR="00726547" w:rsidRPr="00143F8E">
        <w:t>After NASCTN screens project requests and establishes a test framework that is posted for public input, p</w:t>
      </w:r>
      <w:r w:rsidRPr="00143F8E">
        <w:t xml:space="preserve">rivate entities </w:t>
      </w:r>
      <w:r w:rsidR="00726547" w:rsidRPr="00143F8E">
        <w:t xml:space="preserve">enter into a </w:t>
      </w:r>
      <w:r w:rsidR="00597827" w:rsidRPr="00143F8E">
        <w:t>Cooperative Research and Development Agreement (</w:t>
      </w:r>
      <w:r w:rsidR="00726547" w:rsidRPr="00143F8E">
        <w:t>CRADA</w:t>
      </w:r>
      <w:r w:rsidR="00597827" w:rsidRPr="00143F8E">
        <w:t>)</w:t>
      </w:r>
      <w:r w:rsidR="00726547" w:rsidRPr="00143F8E">
        <w:t xml:space="preserve"> with </w:t>
      </w:r>
      <w:r w:rsidRPr="00143F8E">
        <w:t xml:space="preserve">NASCTN </w:t>
      </w:r>
      <w:r w:rsidR="00726547" w:rsidRPr="00143F8E">
        <w:t xml:space="preserve">to </w:t>
      </w:r>
      <w:r w:rsidR="00C70AEE" w:rsidRPr="00143F8E">
        <w:t xml:space="preserve">administer </w:t>
      </w:r>
      <w:r w:rsidRPr="00143F8E">
        <w:t>the testing</w:t>
      </w:r>
      <w:r w:rsidR="00726547" w:rsidRPr="00143F8E">
        <w:t>.</w:t>
      </w:r>
      <w:r w:rsidR="002B19A3" w:rsidRPr="00143F8E">
        <w:t xml:space="preserve"> </w:t>
      </w:r>
    </w:p>
    <w:p w14:paraId="4793D35E" w14:textId="77777777" w:rsidR="00D4442A" w:rsidRPr="00143F8E" w:rsidRDefault="00D4442A" w:rsidP="000F344D">
      <w:pPr>
        <w:rPr>
          <w:b/>
          <w:bCs/>
        </w:rPr>
      </w:pPr>
    </w:p>
    <w:p w14:paraId="7410D839" w14:textId="77777777" w:rsidR="00D4442A" w:rsidRPr="00143F8E" w:rsidRDefault="00D4442A" w:rsidP="000F344D">
      <w:pPr>
        <w:rPr>
          <w:b/>
          <w:bCs/>
        </w:rPr>
      </w:pPr>
    </w:p>
    <w:p w14:paraId="362C0AC6" w14:textId="6CD8D73B" w:rsidR="000F344D" w:rsidRPr="00143F8E" w:rsidRDefault="000F344D" w:rsidP="000F344D">
      <w:pPr>
        <w:rPr>
          <w:b/>
          <w:bCs/>
          <w:i/>
        </w:rPr>
      </w:pPr>
      <w:r w:rsidRPr="00143F8E">
        <w:rPr>
          <w:b/>
          <w:bCs/>
          <w:i/>
        </w:rPr>
        <w:t>Myth: The NASCTN</w:t>
      </w:r>
      <w:r w:rsidR="00F776BC" w:rsidRPr="00143F8E">
        <w:rPr>
          <w:b/>
          <w:bCs/>
          <w:i/>
        </w:rPr>
        <w:t xml:space="preserve"> </w:t>
      </w:r>
      <w:r w:rsidR="001959E9" w:rsidRPr="00143F8E">
        <w:rPr>
          <w:b/>
          <w:bCs/>
          <w:i/>
        </w:rPr>
        <w:t xml:space="preserve">testing </w:t>
      </w:r>
      <w:r w:rsidR="00F776BC" w:rsidRPr="00143F8E">
        <w:rPr>
          <w:b/>
          <w:bCs/>
          <w:i/>
        </w:rPr>
        <w:t>is invalid because D</w:t>
      </w:r>
      <w:r w:rsidR="00B257B1" w:rsidRPr="00143F8E">
        <w:rPr>
          <w:b/>
          <w:bCs/>
          <w:i/>
        </w:rPr>
        <w:t>o</w:t>
      </w:r>
      <w:r w:rsidR="00F776BC" w:rsidRPr="00143F8E">
        <w:rPr>
          <w:b/>
          <w:bCs/>
          <w:i/>
        </w:rPr>
        <w:t xml:space="preserve">D thought </w:t>
      </w:r>
      <w:r w:rsidR="001959E9" w:rsidRPr="00143F8E">
        <w:rPr>
          <w:b/>
          <w:bCs/>
          <w:i/>
        </w:rPr>
        <w:t xml:space="preserve">it was </w:t>
      </w:r>
      <w:r w:rsidR="00F776BC" w:rsidRPr="00143F8E">
        <w:rPr>
          <w:b/>
          <w:bCs/>
          <w:i/>
        </w:rPr>
        <w:t xml:space="preserve">agreeing to test a primarily satellite-based network, not a terrestrial ground-based solution. The test was on point for what was assumed at the time but is no longer on point in regards to the FCC </w:t>
      </w:r>
      <w:r w:rsidR="007D04CD" w:rsidRPr="00143F8E">
        <w:rPr>
          <w:b/>
          <w:bCs/>
          <w:i/>
        </w:rPr>
        <w:t>O</w:t>
      </w:r>
      <w:r w:rsidR="00F776BC" w:rsidRPr="00143F8E">
        <w:rPr>
          <w:b/>
          <w:bCs/>
          <w:i/>
        </w:rPr>
        <w:t xml:space="preserve">rder. Ligado moved the goal posts after </w:t>
      </w:r>
      <w:r w:rsidR="002C58AF" w:rsidRPr="00143F8E">
        <w:rPr>
          <w:b/>
          <w:bCs/>
          <w:i/>
        </w:rPr>
        <w:t>the tests were conducted</w:t>
      </w:r>
      <w:r w:rsidR="00F776BC" w:rsidRPr="00143F8E">
        <w:rPr>
          <w:b/>
          <w:bCs/>
          <w:i/>
        </w:rPr>
        <w:t>.</w:t>
      </w:r>
      <w:r w:rsidR="00DD4178" w:rsidRPr="00143F8E">
        <w:rPr>
          <w:b/>
          <w:bCs/>
          <w:i/>
        </w:rPr>
        <w:t xml:space="preserve"> (</w:t>
      </w:r>
      <w:proofErr w:type="spellStart"/>
      <w:r w:rsidR="00DD4178" w:rsidRPr="00B5094E">
        <w:rPr>
          <w:b/>
          <w:bCs/>
          <w:i/>
        </w:rPr>
        <w:t>Deasy</w:t>
      </w:r>
      <w:proofErr w:type="spellEnd"/>
      <w:r w:rsidR="00DD4178" w:rsidRPr="00B5094E">
        <w:rPr>
          <w:b/>
          <w:bCs/>
          <w:i/>
        </w:rPr>
        <w:t>, SASC hearing</w:t>
      </w:r>
      <w:r w:rsidR="00DD4178" w:rsidRPr="00143F8E">
        <w:rPr>
          <w:b/>
          <w:bCs/>
          <w:i/>
        </w:rPr>
        <w:t>)</w:t>
      </w:r>
    </w:p>
    <w:p w14:paraId="5C3C2175" w14:textId="77777777" w:rsidR="00D4442A" w:rsidRPr="00143F8E" w:rsidRDefault="00D4442A" w:rsidP="00EB465A">
      <w:pPr>
        <w:rPr>
          <w:b/>
          <w:bCs/>
          <w:i/>
        </w:rPr>
      </w:pPr>
    </w:p>
    <w:p w14:paraId="041092B9" w14:textId="46318003" w:rsidR="000F344D" w:rsidRPr="00143F8E" w:rsidRDefault="00DD4178" w:rsidP="00EB465A">
      <w:r w:rsidRPr="00143F8E">
        <w:rPr>
          <w:b/>
          <w:u w:val="single"/>
        </w:rPr>
        <w:t>Facts</w:t>
      </w:r>
      <w:r w:rsidRPr="00143F8E">
        <w:rPr>
          <w:u w:val="single"/>
        </w:rPr>
        <w:t>:</w:t>
      </w:r>
      <w:r w:rsidR="00C70AEE" w:rsidRPr="00143F8E">
        <w:t xml:space="preserve">   This claim </w:t>
      </w:r>
      <w:r w:rsidR="00200273" w:rsidRPr="00143F8E">
        <w:t xml:space="preserve">is absurd and </w:t>
      </w:r>
      <w:r w:rsidR="00C70AEE" w:rsidRPr="00143F8E">
        <w:t xml:space="preserve">has no basis whatsoever </w:t>
      </w:r>
      <w:r w:rsidR="00200273" w:rsidRPr="00143F8E">
        <w:t xml:space="preserve">in fact. That is crystal clear from </w:t>
      </w:r>
      <w:r w:rsidR="00C70AEE" w:rsidRPr="00143F8E">
        <w:t xml:space="preserve">the </w:t>
      </w:r>
      <w:r w:rsidR="008017D4" w:rsidRPr="00143F8E">
        <w:t xml:space="preserve">very title of the </w:t>
      </w:r>
      <w:r w:rsidR="00C70AEE" w:rsidRPr="00143F8E">
        <w:t xml:space="preserve">NASCTN </w:t>
      </w:r>
      <w:r w:rsidR="008017D4" w:rsidRPr="00143F8E">
        <w:t>report</w:t>
      </w:r>
      <w:r w:rsidR="00571AC2" w:rsidRPr="00143F8E">
        <w:t xml:space="preserve">, </w:t>
      </w:r>
      <w:r w:rsidR="009929C3" w:rsidRPr="00143F8E">
        <w:t>page vii of the report</w:t>
      </w:r>
      <w:r w:rsidR="00571AC2" w:rsidRPr="00143F8E">
        <w:t>,</w:t>
      </w:r>
      <w:r w:rsidR="00C70AEE" w:rsidRPr="00143F8E">
        <w:t xml:space="preserve"> and associated test plan.  </w:t>
      </w:r>
    </w:p>
    <w:p w14:paraId="06FE76E8" w14:textId="77777777" w:rsidR="00273809" w:rsidRPr="00143F8E" w:rsidRDefault="00273809" w:rsidP="00EB465A"/>
    <w:p w14:paraId="4A936EC2" w14:textId="695BA902" w:rsidR="00490AB8" w:rsidRPr="00143F8E" w:rsidRDefault="00D816A6" w:rsidP="00DD4178">
      <w:pPr>
        <w:numPr>
          <w:ilvl w:val="0"/>
          <w:numId w:val="20"/>
        </w:numPr>
      </w:pPr>
      <w:r w:rsidRPr="00143F8E">
        <w:t xml:space="preserve">The title of the test is “LTE Impacts on GPS Receivers”.  </w:t>
      </w:r>
      <w:r w:rsidR="00C70AEE" w:rsidRPr="00143F8E">
        <w:t>LTE is a technology used by commercial mobile</w:t>
      </w:r>
      <w:r w:rsidR="00571AC2" w:rsidRPr="00143F8E">
        <w:t>—</w:t>
      </w:r>
      <w:r w:rsidR="00C70AEE" w:rsidRPr="00143F8E">
        <w:t>i.e., terre</w:t>
      </w:r>
      <w:r w:rsidR="00A6231C" w:rsidRPr="00143F8E">
        <w:t>s</w:t>
      </w:r>
      <w:r w:rsidR="00C70AEE" w:rsidRPr="00143F8E">
        <w:t>trial</w:t>
      </w:r>
      <w:r w:rsidR="00571AC2" w:rsidRPr="00143F8E">
        <w:t>—</w:t>
      </w:r>
      <w:r w:rsidR="00C70AEE" w:rsidRPr="00143F8E">
        <w:t xml:space="preserve">devices. </w:t>
      </w:r>
      <w:r w:rsidRPr="00143F8E">
        <w:t xml:space="preserve">It is </w:t>
      </w:r>
      <w:r w:rsidR="00C70AEE" w:rsidRPr="00143F8E">
        <w:t xml:space="preserve">not possible </w:t>
      </w:r>
      <w:r w:rsidRPr="00143F8E">
        <w:t xml:space="preserve">to read that title </w:t>
      </w:r>
      <w:r w:rsidR="00ED7848" w:rsidRPr="00143F8E">
        <w:t xml:space="preserve">and square it with </w:t>
      </w:r>
      <w:r w:rsidR="00C70AEE" w:rsidRPr="00143F8E">
        <w:t xml:space="preserve">a claim that it was a </w:t>
      </w:r>
      <w:r w:rsidR="00A6231C" w:rsidRPr="00143F8E">
        <w:t>test of a “satellite-based” network</w:t>
      </w:r>
      <w:r w:rsidR="00ED7848" w:rsidRPr="00143F8E">
        <w:t xml:space="preserve"> </w:t>
      </w:r>
      <w:r w:rsidR="00C70AEE" w:rsidRPr="00143F8E">
        <w:t>test.</w:t>
      </w:r>
      <w:r w:rsidR="00A6231C" w:rsidRPr="00143F8E">
        <w:t xml:space="preserve"> It was a test of </w:t>
      </w:r>
      <w:r w:rsidR="003A334F" w:rsidRPr="00143F8E">
        <w:t xml:space="preserve">various spectrum scenarios including </w:t>
      </w:r>
      <w:r w:rsidR="00A6231C" w:rsidRPr="00143F8E">
        <w:t xml:space="preserve">Ligado’s proposed network, which has been and remains a combined satellite-terrestrial proposal. That was clear in Ligado’s 2015 FCC Application and it is still true. </w:t>
      </w:r>
    </w:p>
    <w:p w14:paraId="70A93C4A" w14:textId="6932527D" w:rsidR="00D816A6" w:rsidRPr="00143F8E" w:rsidRDefault="00ED7848" w:rsidP="00490AB8">
      <w:pPr>
        <w:ind w:left="720"/>
      </w:pPr>
      <w:r w:rsidRPr="00143F8E">
        <w:t xml:space="preserve"> </w:t>
      </w:r>
    </w:p>
    <w:p w14:paraId="291C19D5" w14:textId="7C6F954E" w:rsidR="00C57B14" w:rsidRPr="00143F8E" w:rsidRDefault="00C57B14" w:rsidP="00C57B14">
      <w:pPr>
        <w:numPr>
          <w:ilvl w:val="0"/>
          <w:numId w:val="20"/>
        </w:numPr>
        <w:rPr>
          <w:rFonts w:cs="Arial"/>
        </w:rPr>
      </w:pPr>
      <w:r w:rsidRPr="00143F8E">
        <w:rPr>
          <w:rFonts w:cs="Arial"/>
        </w:rPr>
        <w:t xml:space="preserve">The NASCTN </w:t>
      </w:r>
      <w:r w:rsidR="00D816A6" w:rsidRPr="00143F8E">
        <w:rPr>
          <w:rFonts w:cs="Arial"/>
        </w:rPr>
        <w:t>test</w:t>
      </w:r>
      <w:r w:rsidRPr="00143F8E">
        <w:rPr>
          <w:rFonts w:cs="Arial"/>
        </w:rPr>
        <w:t xml:space="preserve"> studied </w:t>
      </w:r>
      <w:r w:rsidR="00E632CC" w:rsidRPr="00143F8E">
        <w:rPr>
          <w:rFonts w:cs="Arial"/>
        </w:rPr>
        <w:t xml:space="preserve">many scenarios including </w:t>
      </w:r>
      <w:r w:rsidRPr="00143F8E">
        <w:rPr>
          <w:rFonts w:cs="Arial"/>
        </w:rPr>
        <w:t>the</w:t>
      </w:r>
      <w:r w:rsidR="00ED7848" w:rsidRPr="00143F8E">
        <w:rPr>
          <w:rFonts w:cs="Arial"/>
        </w:rPr>
        <w:t xml:space="preserve"> exact parameters of Ligado proposal</w:t>
      </w:r>
      <w:r w:rsidR="00C70AEE" w:rsidRPr="00143F8E">
        <w:rPr>
          <w:rFonts w:cs="Arial"/>
        </w:rPr>
        <w:t xml:space="preserve"> to use </w:t>
      </w:r>
      <w:r w:rsidR="00FB2A4B" w:rsidRPr="00143F8E">
        <w:rPr>
          <w:rFonts w:cs="Arial"/>
        </w:rPr>
        <w:t xml:space="preserve">its </w:t>
      </w:r>
      <w:r w:rsidR="00C70AEE" w:rsidRPr="00143F8E">
        <w:rPr>
          <w:rFonts w:cs="Arial"/>
        </w:rPr>
        <w:t>spectrum for commercial mobile services</w:t>
      </w:r>
      <w:r w:rsidR="00FB2A4B" w:rsidRPr="00143F8E">
        <w:rPr>
          <w:rFonts w:cs="Arial"/>
        </w:rPr>
        <w:t xml:space="preserve"> deploying LTE</w:t>
      </w:r>
      <w:r w:rsidR="00ED7848" w:rsidRPr="00143F8E">
        <w:rPr>
          <w:rFonts w:cs="Arial"/>
        </w:rPr>
        <w:t xml:space="preserve">. </w:t>
      </w:r>
      <w:r w:rsidR="00200273" w:rsidRPr="00143F8E">
        <w:rPr>
          <w:rFonts w:cs="Arial"/>
        </w:rPr>
        <w:t>T</w:t>
      </w:r>
      <w:r w:rsidR="00ED7848" w:rsidRPr="00143F8E">
        <w:rPr>
          <w:rFonts w:cs="Arial"/>
        </w:rPr>
        <w:t xml:space="preserve">he </w:t>
      </w:r>
      <w:hyperlink r:id="rId21" w:history="1">
        <w:r w:rsidR="00ED7848" w:rsidRPr="00143F8E">
          <w:rPr>
            <w:rStyle w:val="Hyperlink"/>
            <w:rFonts w:ascii="Arial" w:hAnsi="Arial" w:cs="Arial"/>
            <w:color w:val="auto"/>
          </w:rPr>
          <w:t xml:space="preserve">Final </w:t>
        </w:r>
        <w:r w:rsidR="00FB2A4B" w:rsidRPr="00143F8E">
          <w:rPr>
            <w:rStyle w:val="Hyperlink"/>
            <w:rFonts w:ascii="Arial" w:hAnsi="Arial" w:cs="Arial"/>
            <w:color w:val="auto"/>
          </w:rPr>
          <w:t xml:space="preserve">NASCTN </w:t>
        </w:r>
        <w:r w:rsidR="00ED7848" w:rsidRPr="00143F8E">
          <w:rPr>
            <w:rStyle w:val="Hyperlink"/>
            <w:rFonts w:ascii="Arial" w:hAnsi="Arial" w:cs="Arial"/>
            <w:color w:val="auto"/>
          </w:rPr>
          <w:t>Report</w:t>
        </w:r>
      </w:hyperlink>
      <w:r w:rsidR="00FB2A4B" w:rsidRPr="00143F8E">
        <w:rPr>
          <w:rFonts w:cs="Arial"/>
        </w:rPr>
        <w:t xml:space="preserve"> explains the purpose of the test was to</w:t>
      </w:r>
      <w:r w:rsidR="00ED7848" w:rsidRPr="00143F8E">
        <w:rPr>
          <w:rFonts w:cs="Arial"/>
        </w:rPr>
        <w:t xml:space="preserve"> “(1) develop a test method to investigate the impact of adjacent-band long-term evolution (LTE) signals on global positioning system (GPS) devices that operate in the L1 frequency band, and (2) perform radiated measurements on a representative set of GPS devices to validate the test.”</w:t>
      </w:r>
      <w:r w:rsidR="00200273" w:rsidRPr="00143F8E">
        <w:rPr>
          <w:rFonts w:cs="Arial"/>
        </w:rPr>
        <w:t xml:space="preserve"> </w:t>
      </w:r>
      <w:r w:rsidR="001E492C" w:rsidRPr="00143F8E">
        <w:rPr>
          <w:rFonts w:cs="Arial"/>
        </w:rPr>
        <w:t>(NASCTN Report at page vii</w:t>
      </w:r>
      <w:r w:rsidR="00E632CC" w:rsidRPr="00143F8E">
        <w:rPr>
          <w:rFonts w:cs="Arial"/>
        </w:rPr>
        <w:t>.</w:t>
      </w:r>
      <w:r w:rsidR="001E492C" w:rsidRPr="00143F8E">
        <w:rPr>
          <w:rFonts w:cs="Arial"/>
        </w:rPr>
        <w:t xml:space="preserve">)  </w:t>
      </w:r>
      <w:r w:rsidR="00200273" w:rsidRPr="00143F8E">
        <w:rPr>
          <w:rFonts w:cs="Arial"/>
        </w:rPr>
        <w:t xml:space="preserve">That was the test objective from the beginning and it did not change. </w:t>
      </w:r>
    </w:p>
    <w:p w14:paraId="19ECF1D3" w14:textId="77777777" w:rsidR="00490AB8" w:rsidRPr="00143F8E" w:rsidRDefault="00490AB8" w:rsidP="00490AB8">
      <w:pPr>
        <w:pStyle w:val="ListParagraph"/>
        <w:rPr>
          <w:rFonts w:cs="Arial"/>
        </w:rPr>
      </w:pPr>
    </w:p>
    <w:p w14:paraId="2251535C" w14:textId="02FC0D7D" w:rsidR="000F344D" w:rsidRPr="00143F8E" w:rsidRDefault="00C57B14" w:rsidP="00490AB8">
      <w:pPr>
        <w:numPr>
          <w:ilvl w:val="0"/>
          <w:numId w:val="20"/>
        </w:numPr>
        <w:rPr>
          <w:rFonts w:cs="Arial"/>
        </w:rPr>
      </w:pPr>
      <w:r w:rsidRPr="00143F8E">
        <w:t xml:space="preserve">Federal agencies were asked to provide feedback on the test methodology drafted by NASCTN. </w:t>
      </w:r>
      <w:r w:rsidR="00DD4178" w:rsidRPr="00143F8E">
        <w:t xml:space="preserve">“In May of 2016, the NASCTN team completed the draft test plan and distributed it to a cross-section of GPS manufacturers, federal agencies, and spectrum regulators to obtain technical feedback on the proposed method. The NASCTN test team reviewed the comments and developed a revised test plan in July of 2016 that addressed the technical issues raised in the </w:t>
      </w:r>
      <w:r w:rsidR="009B32B7" w:rsidRPr="00143F8E">
        <w:t>comments.</w:t>
      </w:r>
      <w:r w:rsidR="00135436">
        <w:t xml:space="preserve">” </w:t>
      </w:r>
      <w:r w:rsidR="00DD4178" w:rsidRPr="00143F8E">
        <w:t xml:space="preserve">Feedback on </w:t>
      </w:r>
      <w:r w:rsidRPr="00143F8E">
        <w:t>NASCTN’s draft test plan included comments from the U.S. Air Force Space Command, U.S. Air Force Spectrum Management Office, DOT, and NTIA.</w:t>
      </w:r>
      <w:r w:rsidR="00200273" w:rsidRPr="00143F8E">
        <w:t xml:space="preserve"> No one submitted comments to the effect that the test plan and Ligado proposal had changed, nor did </w:t>
      </w:r>
      <w:r w:rsidR="00200273" w:rsidRPr="00143F8E">
        <w:lastRenderedPageBreak/>
        <w:t xml:space="preserve">anyone submit comments to the effect that the NASCTN test was no longer relevant or was invalid. </w:t>
      </w:r>
    </w:p>
    <w:p w14:paraId="212F55DB" w14:textId="77777777" w:rsidR="00A3494C" w:rsidRPr="00143F8E" w:rsidRDefault="00A3494C" w:rsidP="00EB465A">
      <w:pPr>
        <w:rPr>
          <w:b/>
          <w:bCs/>
          <w:sz w:val="28"/>
          <w:szCs w:val="32"/>
          <w:u w:val="single"/>
        </w:rPr>
      </w:pPr>
    </w:p>
    <w:p w14:paraId="0F87BFDE" w14:textId="255DF93D" w:rsidR="005B536C" w:rsidRPr="00143F8E" w:rsidRDefault="00CB01F3" w:rsidP="00EB465A">
      <w:pPr>
        <w:rPr>
          <w:b/>
          <w:bCs/>
          <w:sz w:val="28"/>
          <w:szCs w:val="32"/>
          <w:u w:val="single"/>
        </w:rPr>
      </w:pPr>
      <w:r w:rsidRPr="00143F8E">
        <w:rPr>
          <w:b/>
          <w:bCs/>
          <w:sz w:val="28"/>
          <w:szCs w:val="32"/>
          <w:u w:val="single"/>
        </w:rPr>
        <w:t>HARMFUL INTERFERENCE/1 dB</w:t>
      </w:r>
    </w:p>
    <w:p w14:paraId="1996ED81" w14:textId="77777777" w:rsidR="005B536C" w:rsidRPr="00143F8E" w:rsidRDefault="005B536C" w:rsidP="00EB465A">
      <w:pPr>
        <w:rPr>
          <w:b/>
          <w:bCs/>
        </w:rPr>
      </w:pPr>
    </w:p>
    <w:p w14:paraId="61561A59" w14:textId="51105E9A" w:rsidR="00C14AD4" w:rsidRPr="00B5094E" w:rsidRDefault="00C14AD4" w:rsidP="00EB465A">
      <w:pPr>
        <w:rPr>
          <w:b/>
          <w:bCs/>
        </w:rPr>
      </w:pPr>
      <w:r w:rsidRPr="00143F8E">
        <w:rPr>
          <w:b/>
          <w:bCs/>
          <w:i/>
        </w:rPr>
        <w:t>Myth: The FCC Order forces soldiers who can’t get their GPS device</w:t>
      </w:r>
      <w:r w:rsidR="0047280E" w:rsidRPr="00143F8E">
        <w:rPr>
          <w:b/>
          <w:bCs/>
          <w:i/>
        </w:rPr>
        <w:t>s</w:t>
      </w:r>
      <w:r w:rsidRPr="00143F8E">
        <w:rPr>
          <w:b/>
          <w:bCs/>
          <w:i/>
        </w:rPr>
        <w:t xml:space="preserve"> to work in the middle of a warzone to call a 1-800 number to report interference from </w:t>
      </w:r>
      <w:proofErr w:type="spellStart"/>
      <w:r w:rsidRPr="00143F8E">
        <w:rPr>
          <w:b/>
          <w:bCs/>
          <w:i/>
        </w:rPr>
        <w:t>Ligado’s</w:t>
      </w:r>
      <w:proofErr w:type="spellEnd"/>
      <w:r w:rsidRPr="00143F8E">
        <w:rPr>
          <w:b/>
          <w:bCs/>
          <w:i/>
        </w:rPr>
        <w:t xml:space="preserve"> network</w:t>
      </w:r>
      <w:r w:rsidR="0047280E" w:rsidRPr="00143F8E">
        <w:rPr>
          <w:b/>
          <w:bCs/>
          <w:i/>
        </w:rPr>
        <w:t>.</w:t>
      </w:r>
      <w:r w:rsidR="00B5094E">
        <w:rPr>
          <w:b/>
          <w:bCs/>
          <w:i/>
        </w:rPr>
        <w:t xml:space="preserve"> </w:t>
      </w:r>
      <w:r w:rsidR="00B5094E" w:rsidRPr="00ED5E39">
        <w:rPr>
          <w:b/>
          <w:bCs/>
          <w:i/>
        </w:rPr>
        <w:t>(Reed, Raymond, SASC Hearing)</w:t>
      </w:r>
    </w:p>
    <w:p w14:paraId="1A4AA0C4" w14:textId="3C064244" w:rsidR="00C14AD4" w:rsidRPr="00143F8E" w:rsidRDefault="00C14AD4" w:rsidP="00EB465A">
      <w:pPr>
        <w:rPr>
          <w:b/>
          <w:bCs/>
        </w:rPr>
      </w:pPr>
    </w:p>
    <w:p w14:paraId="32ECBED0" w14:textId="14700E94" w:rsidR="00FB2A4B" w:rsidRPr="00143F8E" w:rsidRDefault="00C14AD4" w:rsidP="00EB465A">
      <w:r w:rsidRPr="00143F8E">
        <w:rPr>
          <w:b/>
        </w:rPr>
        <w:t>Fact</w:t>
      </w:r>
      <w:r w:rsidRPr="00143F8E">
        <w:t xml:space="preserve">: </w:t>
      </w:r>
      <w:r w:rsidR="00FB2A4B" w:rsidRPr="00143F8E">
        <w:t xml:space="preserve">This </w:t>
      </w:r>
      <w:r w:rsidR="00B257B1" w:rsidRPr="00143F8E">
        <w:t xml:space="preserve">is </w:t>
      </w:r>
      <w:r w:rsidR="008F5888" w:rsidRPr="00143F8E">
        <w:t>simply not true</w:t>
      </w:r>
      <w:r w:rsidR="00B257B1" w:rsidRPr="00143F8E">
        <w:t xml:space="preserve">. Ligado’s </w:t>
      </w:r>
      <w:r w:rsidR="008F5888" w:rsidRPr="00143F8E">
        <w:t>spectrum</w:t>
      </w:r>
      <w:r w:rsidR="00B257B1" w:rsidRPr="00143F8E">
        <w:t xml:space="preserve"> </w:t>
      </w:r>
      <w:r w:rsidR="00FB2A4B" w:rsidRPr="00143F8E">
        <w:t>service</w:t>
      </w:r>
      <w:r w:rsidR="00B257B1" w:rsidRPr="00143F8E">
        <w:t>s</w:t>
      </w:r>
      <w:r w:rsidR="00FB2A4B" w:rsidRPr="00143F8E">
        <w:t xml:space="preserve"> </w:t>
      </w:r>
      <w:r w:rsidR="00B257B1" w:rsidRPr="00143F8E">
        <w:t>will</w:t>
      </w:r>
      <w:r w:rsidR="00FB2A4B" w:rsidRPr="00143F8E">
        <w:t xml:space="preserve"> only be used in the Continental U.S., and there is no warzone in the United States so this claim is </w:t>
      </w:r>
      <w:r w:rsidR="00B257B1" w:rsidRPr="00143F8E">
        <w:t>an incorrect overstatement of the facts.</w:t>
      </w:r>
      <w:r w:rsidR="00FB2A4B" w:rsidRPr="00143F8E">
        <w:t xml:space="preserve"> </w:t>
      </w:r>
    </w:p>
    <w:p w14:paraId="75199090" w14:textId="77777777" w:rsidR="00FB2A4B" w:rsidRPr="00143F8E" w:rsidRDefault="00FB2A4B" w:rsidP="00EB465A"/>
    <w:p w14:paraId="08D57A6B" w14:textId="2AF3C18E" w:rsidR="00200273" w:rsidRPr="00143F8E" w:rsidRDefault="00200273" w:rsidP="005F22B8">
      <w:pPr>
        <w:pStyle w:val="ListParagraph"/>
        <w:numPr>
          <w:ilvl w:val="0"/>
          <w:numId w:val="30"/>
        </w:numPr>
      </w:pPr>
      <w:r w:rsidRPr="00143F8E">
        <w:t xml:space="preserve">The FCC specifically concluded after reviewing all of the data in its record, including the data relied on by the DoD, that Ligado’s proposal would not cause interference to GPS. Thus, the DoD’s continued assertions that all of their GPS capabilities would be harmed is baffling. </w:t>
      </w:r>
    </w:p>
    <w:p w14:paraId="4A4670D0" w14:textId="77777777" w:rsidR="00200273" w:rsidRPr="00143F8E" w:rsidRDefault="00200273" w:rsidP="00EB465A"/>
    <w:p w14:paraId="5728F3FB" w14:textId="76497214" w:rsidR="00C14AD4" w:rsidRPr="00143F8E" w:rsidRDefault="008F5888" w:rsidP="005F22B8">
      <w:pPr>
        <w:pStyle w:val="ListParagraph"/>
        <w:numPr>
          <w:ilvl w:val="0"/>
          <w:numId w:val="30"/>
        </w:numPr>
      </w:pPr>
      <w:r w:rsidRPr="00143F8E">
        <w:t xml:space="preserve">It would be impossible for any GPS device issues experienced by service members in a war zone to be caused by Ligado’s spectrum in the U.S. </w:t>
      </w:r>
      <w:r w:rsidR="00FB2A4B" w:rsidRPr="00143F8E">
        <w:t>Such</w:t>
      </w:r>
      <w:r w:rsidRPr="00143F8E">
        <w:t xml:space="preserve"> GPS</w:t>
      </w:r>
      <w:r w:rsidR="00FB2A4B" w:rsidRPr="00143F8E">
        <w:t xml:space="preserve"> issues </w:t>
      </w:r>
      <w:r w:rsidRPr="00143F8E">
        <w:t xml:space="preserve">in warzones abroad </w:t>
      </w:r>
      <w:r w:rsidR="00FB2A4B" w:rsidRPr="00143F8E">
        <w:t xml:space="preserve">could arise from deliberate jamming or spoofing by hostile actors.  That real danger, long known to </w:t>
      </w:r>
      <w:r w:rsidRPr="00143F8E">
        <w:t>military</w:t>
      </w:r>
      <w:r w:rsidR="00FB2A4B" w:rsidRPr="00143F8E">
        <w:t xml:space="preserve"> planners, explains why so many have urged the military </w:t>
      </w:r>
      <w:r w:rsidR="006C36AD" w:rsidRPr="00143F8E">
        <w:t xml:space="preserve">for decades, including a former Secretary of Defense, </w:t>
      </w:r>
      <w:r w:rsidR="00FB2A4B" w:rsidRPr="00143F8E">
        <w:t xml:space="preserve">to </w:t>
      </w:r>
      <w:r w:rsidR="006C36AD" w:rsidRPr="00143F8E">
        <w:t xml:space="preserve">develop other technologies and </w:t>
      </w:r>
      <w:r w:rsidR="00FB2A4B" w:rsidRPr="00143F8E">
        <w:t xml:space="preserve">use more robust filters with their GPS devices -- just as Apple phones have for years. </w:t>
      </w:r>
    </w:p>
    <w:p w14:paraId="2881C8E4" w14:textId="1604900C" w:rsidR="0045397C" w:rsidRPr="00143F8E" w:rsidRDefault="0045397C" w:rsidP="0045397C">
      <w:pPr>
        <w:rPr>
          <w:i/>
        </w:rPr>
      </w:pPr>
    </w:p>
    <w:p w14:paraId="4816DF32" w14:textId="7ECD488B" w:rsidR="0045397C" w:rsidRPr="00B5094E" w:rsidRDefault="0045397C" w:rsidP="0045397C">
      <w:pPr>
        <w:rPr>
          <w:b/>
          <w:bCs/>
        </w:rPr>
      </w:pPr>
      <w:r w:rsidRPr="00143F8E">
        <w:rPr>
          <w:b/>
          <w:bCs/>
          <w:i/>
        </w:rPr>
        <w:t xml:space="preserve">Myth: The DOT Report proves that the L-band </w:t>
      </w:r>
      <w:r w:rsidR="007F7C70" w:rsidRPr="00143F8E">
        <w:rPr>
          <w:b/>
          <w:bCs/>
          <w:i/>
        </w:rPr>
        <w:t xml:space="preserve">(1-2 GHz) </w:t>
      </w:r>
      <w:r w:rsidRPr="00143F8E">
        <w:rPr>
          <w:b/>
          <w:bCs/>
          <w:i/>
        </w:rPr>
        <w:t>should be reserved for satellite-based uses only because anything causing a 1 dB degradation in GPS receivers would completely disrupt military and civilian GPS uses</w:t>
      </w:r>
      <w:r w:rsidR="00517DFA" w:rsidRPr="00143F8E">
        <w:rPr>
          <w:b/>
          <w:bCs/>
          <w:i/>
        </w:rPr>
        <w:t>.</w:t>
      </w:r>
      <w:r w:rsidR="00B5094E">
        <w:rPr>
          <w:b/>
          <w:bCs/>
          <w:i/>
        </w:rPr>
        <w:t xml:space="preserve"> </w:t>
      </w:r>
      <w:r w:rsidR="00B5094E" w:rsidRPr="00ED5E39">
        <w:rPr>
          <w:b/>
          <w:bCs/>
          <w:i/>
        </w:rPr>
        <w:t>(Griffin, SASC Hearing)</w:t>
      </w:r>
    </w:p>
    <w:p w14:paraId="1AE0FBC8" w14:textId="4427EC5E" w:rsidR="0045397C" w:rsidRPr="00143F8E" w:rsidRDefault="0045397C" w:rsidP="0045397C">
      <w:pPr>
        <w:rPr>
          <w:b/>
          <w:bCs/>
        </w:rPr>
      </w:pPr>
    </w:p>
    <w:p w14:paraId="391E7BBA" w14:textId="3C8475A6" w:rsidR="0045397C" w:rsidRPr="00143F8E" w:rsidRDefault="0045397C" w:rsidP="005B536C">
      <w:r w:rsidRPr="00143F8E">
        <w:rPr>
          <w:b/>
          <w:u w:val="single"/>
        </w:rPr>
        <w:t>Facts</w:t>
      </w:r>
      <w:r w:rsidRPr="00143F8E">
        <w:rPr>
          <w:u w:val="single"/>
        </w:rPr>
        <w:t>:</w:t>
      </w:r>
      <w:r w:rsidR="005B536C" w:rsidRPr="00143F8E">
        <w:rPr>
          <w:u w:val="single"/>
        </w:rPr>
        <w:t xml:space="preserve"> </w:t>
      </w:r>
      <w:r w:rsidR="003313EB" w:rsidRPr="00143F8E">
        <w:t>The DOT Report relies on a 1 dB C/N</w:t>
      </w:r>
      <w:r w:rsidR="003313EB" w:rsidRPr="00143F8E">
        <w:rPr>
          <w:vertAlign w:val="subscript"/>
        </w:rPr>
        <w:t xml:space="preserve">0 </w:t>
      </w:r>
      <w:r w:rsidR="003313EB" w:rsidRPr="00143F8E">
        <w:t>metric that “provides no demonstrable evidence of how the functioning of the RNSS receiver is endangered, seriously degraded, or repeatedly interrupted.” (FCC Order ¶59)</w:t>
      </w:r>
    </w:p>
    <w:p w14:paraId="6FE3A883" w14:textId="77777777" w:rsidR="00CE2E46" w:rsidRPr="00143F8E" w:rsidRDefault="00CE2E46" w:rsidP="00CE2E46"/>
    <w:p w14:paraId="5AF96888" w14:textId="41366111" w:rsidR="007F7C70" w:rsidRPr="00143F8E" w:rsidRDefault="007F7C70" w:rsidP="00A3494C">
      <w:pPr>
        <w:pStyle w:val="ListParagraph"/>
        <w:numPr>
          <w:ilvl w:val="0"/>
          <w:numId w:val="28"/>
        </w:numPr>
      </w:pPr>
      <w:r w:rsidRPr="00143F8E">
        <w:t>T</w:t>
      </w:r>
      <w:r w:rsidR="003313EB" w:rsidRPr="00143F8E">
        <w:t xml:space="preserve">he </w:t>
      </w:r>
      <w:r w:rsidR="006C36AD" w:rsidRPr="00143F8E">
        <w:t>FCC for decades has</w:t>
      </w:r>
      <w:r w:rsidR="00200273" w:rsidRPr="00143F8E">
        <w:t xml:space="preserve"> had</w:t>
      </w:r>
      <w:r w:rsidR="006C36AD" w:rsidRPr="00143F8E">
        <w:t xml:space="preserve"> a rule that sets out how it regulates interference and protects </w:t>
      </w:r>
      <w:proofErr w:type="spellStart"/>
      <w:r w:rsidR="006C36AD" w:rsidRPr="00143F8E">
        <w:t>radionavigation</w:t>
      </w:r>
      <w:proofErr w:type="spellEnd"/>
      <w:r w:rsidR="006C36AD" w:rsidRPr="00143F8E">
        <w:t xml:space="preserve"> devices.  The Department of Commerce uses an identical rule.  And yet the DOT, over the objections of the FCC and the Department of Commerce, decided to conduct a test not based on established rules but instead using </w:t>
      </w:r>
      <w:r w:rsidR="005C3113" w:rsidRPr="00143F8E">
        <w:t xml:space="preserve">this </w:t>
      </w:r>
      <w:r w:rsidRPr="00143F8E">
        <w:t xml:space="preserve">1 dB </w:t>
      </w:r>
      <w:r w:rsidR="003313EB" w:rsidRPr="00143F8E">
        <w:t>metric</w:t>
      </w:r>
      <w:r w:rsidR="005C3113" w:rsidRPr="00143F8E">
        <w:t xml:space="preserve">. </w:t>
      </w:r>
      <w:r w:rsidR="005C3113" w:rsidRPr="00143F8E" w:rsidDel="005C3113">
        <w:t xml:space="preserve"> </w:t>
      </w:r>
    </w:p>
    <w:p w14:paraId="11932F6E" w14:textId="77777777" w:rsidR="00CE2E46" w:rsidRPr="00143F8E" w:rsidRDefault="00CE2E46" w:rsidP="00CE2E46"/>
    <w:p w14:paraId="40ACE907" w14:textId="73B4B310" w:rsidR="000F344D" w:rsidRPr="00B5094E" w:rsidRDefault="008F35C7" w:rsidP="00FC34F6">
      <w:pPr>
        <w:rPr>
          <w:b/>
          <w:bCs/>
        </w:rPr>
      </w:pPr>
      <w:r w:rsidRPr="00253972">
        <w:rPr>
          <w:b/>
          <w:bCs/>
          <w:i/>
        </w:rPr>
        <w:t xml:space="preserve">Myth: 1 dB is </w:t>
      </w:r>
      <w:r w:rsidR="001B3150" w:rsidRPr="00253972">
        <w:rPr>
          <w:b/>
          <w:bCs/>
          <w:i/>
        </w:rPr>
        <w:t>the</w:t>
      </w:r>
      <w:r w:rsidRPr="00253972">
        <w:rPr>
          <w:b/>
          <w:bCs/>
          <w:i/>
        </w:rPr>
        <w:t xml:space="preserve"> global standard for harmful interference for GPS devices</w:t>
      </w:r>
      <w:r w:rsidR="0029713D" w:rsidRPr="00253972">
        <w:rPr>
          <w:b/>
          <w:bCs/>
          <w:i/>
        </w:rPr>
        <w:t>.</w:t>
      </w:r>
      <w:r w:rsidR="00B5094E">
        <w:rPr>
          <w:b/>
          <w:bCs/>
          <w:i/>
        </w:rPr>
        <w:t xml:space="preserve"> (Griffin, SASC Hearing)</w:t>
      </w:r>
    </w:p>
    <w:p w14:paraId="755B1D28" w14:textId="77777777" w:rsidR="008F35C7" w:rsidRPr="00143F8E" w:rsidRDefault="008F35C7" w:rsidP="00FC34F6"/>
    <w:p w14:paraId="59EC2FEE" w14:textId="0E7F710E" w:rsidR="005C3113" w:rsidRDefault="008F35C7" w:rsidP="00253972">
      <w:r w:rsidRPr="00253972">
        <w:rPr>
          <w:b/>
          <w:u w:val="single"/>
        </w:rPr>
        <w:t>Fact</w:t>
      </w:r>
      <w:r w:rsidR="00793FCD" w:rsidRPr="00253972">
        <w:rPr>
          <w:b/>
          <w:u w:val="single"/>
        </w:rPr>
        <w:t>s</w:t>
      </w:r>
      <w:r w:rsidRPr="00CC44D3">
        <w:t xml:space="preserve">: </w:t>
      </w:r>
      <w:r w:rsidR="00253972" w:rsidRPr="00CC44D3">
        <w:t xml:space="preserve"> </w:t>
      </w:r>
      <w:r w:rsidR="005C3113" w:rsidRPr="00143F8E">
        <w:t>1 dB is not a standard</w:t>
      </w:r>
      <w:r w:rsidR="00E632CC" w:rsidRPr="00143F8E">
        <w:t xml:space="preserve"> </w:t>
      </w:r>
      <w:r w:rsidR="00E632CC" w:rsidRPr="00143F8E">
        <w:rPr>
          <w:rFonts w:cs="Arial"/>
        </w:rPr>
        <w:t>−</w:t>
      </w:r>
      <w:r w:rsidR="00E632CC" w:rsidRPr="00143F8E">
        <w:t>in the U.S. or internationally</w:t>
      </w:r>
      <w:r w:rsidR="005C3113" w:rsidRPr="00143F8E">
        <w:t xml:space="preserve">. It has never been defined and </w:t>
      </w:r>
      <w:r w:rsidR="00E632CC" w:rsidRPr="00143F8E">
        <w:t xml:space="preserve">data </w:t>
      </w:r>
      <w:r w:rsidR="005C3113" w:rsidRPr="00143F8E">
        <w:t xml:space="preserve">from NASCTN and DOT show that every manufacturer detects, measures, and reports a 1 dB change differently.  </w:t>
      </w:r>
      <w:r w:rsidR="00754A4C" w:rsidRPr="00143F8E">
        <w:t xml:space="preserve">Thus, it is inaccurate to refer to 1 dB as a </w:t>
      </w:r>
      <w:r w:rsidR="008F5888" w:rsidRPr="00143F8E">
        <w:t xml:space="preserve">global </w:t>
      </w:r>
      <w:r w:rsidR="00754A4C" w:rsidRPr="00143F8E">
        <w:t xml:space="preserve">standard.  </w:t>
      </w:r>
    </w:p>
    <w:p w14:paraId="274143C2" w14:textId="77777777" w:rsidR="00253972" w:rsidRPr="00143F8E" w:rsidRDefault="00253972" w:rsidP="00253972"/>
    <w:p w14:paraId="1CEB142F" w14:textId="4A20DEBB" w:rsidR="008F35C7" w:rsidRPr="00143F8E" w:rsidRDefault="003B4C87" w:rsidP="008F35C7">
      <w:pPr>
        <w:numPr>
          <w:ilvl w:val="0"/>
          <w:numId w:val="21"/>
        </w:numPr>
      </w:pPr>
      <w:r w:rsidRPr="00143F8E">
        <w:rPr>
          <w:u w:val="single"/>
        </w:rPr>
        <w:t xml:space="preserve">1 dB has never been </w:t>
      </w:r>
      <w:r w:rsidR="00754A4C" w:rsidRPr="00143F8E">
        <w:rPr>
          <w:u w:val="single"/>
        </w:rPr>
        <w:t>used by the FCC nor NTIA in connection with GPS. The FCC Order is quite clear on this point</w:t>
      </w:r>
      <w:r w:rsidR="00754A4C" w:rsidRPr="00CC44D3">
        <w:t xml:space="preserve">:  </w:t>
      </w:r>
      <w:r w:rsidRPr="00143F8E">
        <w:t>“</w:t>
      </w:r>
      <w:r w:rsidR="00754A4C" w:rsidRPr="00143F8E">
        <w:t>C</w:t>
      </w:r>
      <w:r w:rsidRPr="00143F8E">
        <w:t>ontrary to the position of those commenters supporting the use of the 1 dB C/N</w:t>
      </w:r>
      <w:r w:rsidRPr="00143F8E">
        <w:rPr>
          <w:vertAlign w:val="subscript"/>
        </w:rPr>
        <w:t>0</w:t>
      </w:r>
      <w:r w:rsidRPr="00143F8E">
        <w:t xml:space="preserve"> degradation metric, the Commission has not applied this metric as the determinant of harmful interference caused by emissions falling within the RNSS allocation</w:t>
      </w:r>
      <w:r w:rsidR="00D46359" w:rsidRPr="00143F8E">
        <w:t xml:space="preserve"> </w:t>
      </w:r>
      <w:r w:rsidR="00754A4C" w:rsidRPr="00143F8E">
        <w:t xml:space="preserve">[which includes GPS] </w:t>
      </w:r>
      <w:r w:rsidRPr="00143F8E">
        <w:t xml:space="preserve"> nor has the Commission used this or any other metric to offer interference protection for GPS receivers that are particularly susceptible to interference substantially outside the RNSS allocation.”</w:t>
      </w:r>
      <w:r w:rsidR="00D251B1" w:rsidRPr="00143F8E">
        <w:t xml:space="preserve"> </w:t>
      </w:r>
      <w:r w:rsidRPr="00143F8E">
        <w:t>(FCC Order ¶50)</w:t>
      </w:r>
    </w:p>
    <w:p w14:paraId="27FDF068" w14:textId="77777777" w:rsidR="00A3494C" w:rsidRPr="00143F8E" w:rsidRDefault="00A3494C" w:rsidP="00A3494C"/>
    <w:p w14:paraId="0F3CD97C" w14:textId="20F73453" w:rsidR="003B4C87" w:rsidRPr="00143F8E" w:rsidRDefault="003B4C87" w:rsidP="008F35C7">
      <w:pPr>
        <w:numPr>
          <w:ilvl w:val="0"/>
          <w:numId w:val="21"/>
        </w:numPr>
      </w:pPr>
      <w:r w:rsidRPr="00143F8E">
        <w:rPr>
          <w:u w:val="single"/>
        </w:rPr>
        <w:t xml:space="preserve">1 dB has never been </w:t>
      </w:r>
      <w:r w:rsidR="00754A4C" w:rsidRPr="00143F8E">
        <w:rPr>
          <w:u w:val="single"/>
        </w:rPr>
        <w:t>used by international spectrum regulators</w:t>
      </w:r>
      <w:r w:rsidRPr="00143F8E">
        <w:t xml:space="preserve">: The FCC </w:t>
      </w:r>
      <w:r w:rsidR="00754A4C" w:rsidRPr="00143F8E">
        <w:t xml:space="preserve">Order continues: the </w:t>
      </w:r>
      <w:r w:rsidRPr="00143F8E">
        <w:t>ITU (United Nations’ International Telecommunication Union) define</w:t>
      </w:r>
      <w:r w:rsidR="00754A4C" w:rsidRPr="00143F8E">
        <w:t>s</w:t>
      </w:r>
      <w:r w:rsidRPr="00143F8E">
        <w:t xml:space="preserve"> </w:t>
      </w:r>
      <w:r w:rsidR="00CC44D3">
        <w:t>“</w:t>
      </w:r>
      <w:r w:rsidRPr="00143F8E">
        <w:t>harmful interference</w:t>
      </w:r>
      <w:r w:rsidR="00CC44D3">
        <w:t>”</w:t>
      </w:r>
      <w:r w:rsidRPr="00143F8E">
        <w:t xml:space="preserve"> the same way the FCC does and that the ITU has </w:t>
      </w:r>
      <w:r w:rsidR="00754A4C" w:rsidRPr="00143F8E">
        <w:t>“</w:t>
      </w:r>
      <w:r w:rsidR="00754A4C" w:rsidRPr="00143F8E">
        <w:rPr>
          <w:i/>
          <w:iCs/>
        </w:rPr>
        <w:t>not</w:t>
      </w:r>
      <w:r w:rsidRPr="00143F8E">
        <w:rPr>
          <w:i/>
          <w:iCs/>
        </w:rPr>
        <w:t xml:space="preserve"> </w:t>
      </w:r>
      <w:r w:rsidRPr="00143F8E">
        <w:t>recommended</w:t>
      </w:r>
      <w:r w:rsidR="00D46359" w:rsidRPr="00143F8E">
        <w:t>”</w:t>
      </w:r>
      <w:r w:rsidRPr="00143F8E">
        <w:t xml:space="preserve"> that 1 dB be used to set</w:t>
      </w:r>
      <w:r w:rsidR="00CC5DAB" w:rsidRPr="00143F8E">
        <w:t xml:space="preserve"> </w:t>
      </w:r>
      <w:r w:rsidRPr="00143F8E">
        <w:t xml:space="preserve">power levels for </w:t>
      </w:r>
      <w:r w:rsidR="006C1CC6" w:rsidRPr="00143F8E">
        <w:t xml:space="preserve">GPS </w:t>
      </w:r>
      <w:r w:rsidRPr="00143F8E">
        <w:t>services operat</w:t>
      </w:r>
      <w:r w:rsidR="006C1CC6" w:rsidRPr="00143F8E">
        <w:t>ing</w:t>
      </w:r>
      <w:r w:rsidRPr="00143F8E">
        <w:t xml:space="preserve"> outside the </w:t>
      </w:r>
      <w:r w:rsidR="006C1CC6" w:rsidRPr="00143F8E">
        <w:t xml:space="preserve">bands allocated for GPS. (FCC Order </w:t>
      </w:r>
      <w:r w:rsidR="00754A4C" w:rsidRPr="00143F8E">
        <w:t>at f</w:t>
      </w:r>
      <w:r w:rsidR="006C1CC6" w:rsidRPr="00143F8E">
        <w:t>ootnote 194</w:t>
      </w:r>
      <w:r w:rsidR="00754A4C" w:rsidRPr="00143F8E">
        <w:t xml:space="preserve"> (emphasis in original)</w:t>
      </w:r>
      <w:r w:rsidR="00FB7ED4" w:rsidRPr="00143F8E">
        <w:t>.</w:t>
      </w:r>
      <w:r w:rsidR="006C1CC6" w:rsidRPr="00143F8E">
        <w:t>)</w:t>
      </w:r>
    </w:p>
    <w:p w14:paraId="039FFC09" w14:textId="77777777" w:rsidR="00A3494C" w:rsidRPr="00143F8E" w:rsidRDefault="00A3494C" w:rsidP="00A3494C">
      <w:pPr>
        <w:pStyle w:val="ListParagraph"/>
      </w:pPr>
    </w:p>
    <w:p w14:paraId="177BEC23" w14:textId="67756F54" w:rsidR="003B4C87" w:rsidRPr="00143F8E" w:rsidRDefault="002D4934" w:rsidP="00A3494C">
      <w:pPr>
        <w:numPr>
          <w:ilvl w:val="0"/>
          <w:numId w:val="21"/>
        </w:numPr>
      </w:pPr>
      <w:r w:rsidRPr="00143F8E">
        <w:t xml:space="preserve">The FCC Order </w:t>
      </w:r>
      <w:r w:rsidR="00FB7ED4" w:rsidRPr="00143F8E">
        <w:t xml:space="preserve">also identifies </w:t>
      </w:r>
      <w:r w:rsidRPr="00143F8E">
        <w:t xml:space="preserve">numerous technical reasons why tests and studies based on </w:t>
      </w:r>
      <w:r w:rsidR="006C1CC6" w:rsidRPr="00143F8E">
        <w:t xml:space="preserve">1 dB cannot be </w:t>
      </w:r>
      <w:r w:rsidRPr="00143F8E">
        <w:t>used to determine “harmful interference.”</w:t>
      </w:r>
    </w:p>
    <w:p w14:paraId="1CEEEF29" w14:textId="77777777" w:rsidR="00A3494C" w:rsidRPr="00143F8E" w:rsidRDefault="00A3494C" w:rsidP="00A3494C">
      <w:pPr>
        <w:ind w:left="720"/>
      </w:pPr>
    </w:p>
    <w:p w14:paraId="12EFD3C7" w14:textId="159C2820" w:rsidR="00CE2E46" w:rsidRPr="00143F8E" w:rsidRDefault="00CE2E46" w:rsidP="008F35C7">
      <w:pPr>
        <w:numPr>
          <w:ilvl w:val="0"/>
          <w:numId w:val="21"/>
        </w:numPr>
      </w:pPr>
      <w:r w:rsidRPr="00143F8E">
        <w:t>“1 dB C/N</w:t>
      </w:r>
      <w:r w:rsidRPr="00143F8E">
        <w:rPr>
          <w:vertAlign w:val="subscript"/>
        </w:rPr>
        <w:t>0</w:t>
      </w:r>
      <w:r w:rsidRPr="00143F8E">
        <w:t xml:space="preserve"> degradation metric does not assess whether the actual performance of the GPS devices is affected, and accordingly does not directly address whether there would be any “harmful interference” as defined by the Commission.” (FCC Order ¶48)</w:t>
      </w:r>
    </w:p>
    <w:p w14:paraId="2F5D472A" w14:textId="77777777" w:rsidR="00A3494C" w:rsidRPr="00143F8E" w:rsidRDefault="00A3494C" w:rsidP="00FC34F6">
      <w:pPr>
        <w:rPr>
          <w:b/>
          <w:bCs/>
          <w:sz w:val="28"/>
          <w:szCs w:val="32"/>
          <w:u w:val="single"/>
        </w:rPr>
      </w:pPr>
    </w:p>
    <w:p w14:paraId="491C5A12" w14:textId="441560F3" w:rsidR="000914F4" w:rsidRPr="00143F8E" w:rsidRDefault="00804967" w:rsidP="00FC34F6">
      <w:pPr>
        <w:rPr>
          <w:b/>
          <w:bCs/>
          <w:sz w:val="28"/>
          <w:szCs w:val="32"/>
          <w:u w:val="single"/>
        </w:rPr>
      </w:pPr>
      <w:r w:rsidRPr="00143F8E">
        <w:rPr>
          <w:b/>
          <w:bCs/>
          <w:sz w:val="28"/>
          <w:szCs w:val="32"/>
          <w:u w:val="single"/>
        </w:rPr>
        <w:t>GUARD</w:t>
      </w:r>
      <w:r w:rsidR="00A96F6F" w:rsidRPr="00143F8E">
        <w:rPr>
          <w:b/>
          <w:bCs/>
          <w:sz w:val="28"/>
          <w:szCs w:val="32"/>
          <w:u w:val="single"/>
        </w:rPr>
        <w:t xml:space="preserve"> </w:t>
      </w:r>
      <w:r w:rsidRPr="00143F8E">
        <w:rPr>
          <w:b/>
          <w:bCs/>
          <w:sz w:val="28"/>
          <w:szCs w:val="32"/>
          <w:u w:val="single"/>
        </w:rPr>
        <w:t>BAND</w:t>
      </w:r>
    </w:p>
    <w:p w14:paraId="72789AF6" w14:textId="17DDB114" w:rsidR="000914F4" w:rsidRPr="00143F8E" w:rsidRDefault="000914F4" w:rsidP="00FC34F6">
      <w:pPr>
        <w:rPr>
          <w:b/>
          <w:bCs/>
        </w:rPr>
      </w:pPr>
    </w:p>
    <w:p w14:paraId="3B36F702" w14:textId="6F71E236" w:rsidR="000914F4" w:rsidRPr="00B5094E" w:rsidRDefault="000914F4" w:rsidP="000914F4">
      <w:pPr>
        <w:rPr>
          <w:b/>
          <w:bCs/>
        </w:rPr>
      </w:pPr>
      <w:r w:rsidRPr="00253972">
        <w:rPr>
          <w:b/>
          <w:bCs/>
          <w:i/>
        </w:rPr>
        <w:t>Myth: The guard band is not big enough.</w:t>
      </w:r>
      <w:r w:rsidR="00B5094E">
        <w:rPr>
          <w:b/>
          <w:bCs/>
        </w:rPr>
        <w:t xml:space="preserve"> </w:t>
      </w:r>
      <w:r w:rsidR="00B5094E" w:rsidRPr="00ED5E39">
        <w:rPr>
          <w:b/>
          <w:bCs/>
          <w:i/>
        </w:rPr>
        <w:t>(</w:t>
      </w:r>
      <w:proofErr w:type="spellStart"/>
      <w:r w:rsidR="00B5094E" w:rsidRPr="00ED5E39">
        <w:rPr>
          <w:b/>
          <w:bCs/>
          <w:i/>
        </w:rPr>
        <w:t>Deasy</w:t>
      </w:r>
      <w:proofErr w:type="spellEnd"/>
      <w:r w:rsidR="00B5094E" w:rsidRPr="00ED5E39">
        <w:rPr>
          <w:b/>
          <w:bCs/>
          <w:i/>
        </w:rPr>
        <w:t>, Griffin, Raymond, SASC Hearing)</w:t>
      </w:r>
    </w:p>
    <w:p w14:paraId="46AED6ED" w14:textId="77777777" w:rsidR="000914F4" w:rsidRPr="00253972" w:rsidRDefault="000914F4" w:rsidP="000914F4">
      <w:pPr>
        <w:rPr>
          <w:i/>
        </w:rPr>
      </w:pPr>
    </w:p>
    <w:p w14:paraId="3C781BB6" w14:textId="0335252B" w:rsidR="000914F4" w:rsidRPr="00143F8E" w:rsidRDefault="000914F4" w:rsidP="000914F4">
      <w:r w:rsidRPr="00253972">
        <w:rPr>
          <w:b/>
          <w:u w:val="single"/>
        </w:rPr>
        <w:t>Facts</w:t>
      </w:r>
      <w:r w:rsidRPr="00253972">
        <w:rPr>
          <w:u w:val="single"/>
        </w:rPr>
        <w:t>:</w:t>
      </w:r>
      <w:r w:rsidRPr="00143F8E">
        <w:t xml:space="preserve"> The 23 MHz guard band separation between Ligado terrestrial operations and the GPS band is </w:t>
      </w:r>
      <w:r w:rsidR="00FB7ED4" w:rsidRPr="00143F8E">
        <w:t>one of the largest guard bands ever created to protect adjacent users.  G</w:t>
      </w:r>
      <w:r w:rsidRPr="00143F8E">
        <w:t>uard bands are typically 2 to 5 MHz, and 23 MHz is roughly the amount of spectrum needed for four TV stations.</w:t>
      </w:r>
    </w:p>
    <w:p w14:paraId="66CBF83F" w14:textId="77777777" w:rsidR="000914F4" w:rsidRPr="00143F8E" w:rsidRDefault="000914F4" w:rsidP="000914F4"/>
    <w:p w14:paraId="39FF6EA4" w14:textId="77777777" w:rsidR="000914F4" w:rsidRPr="00143F8E" w:rsidRDefault="000914F4" w:rsidP="00A3494C">
      <w:pPr>
        <w:pStyle w:val="ListParagraph"/>
        <w:numPr>
          <w:ilvl w:val="0"/>
          <w:numId w:val="29"/>
        </w:numPr>
      </w:pPr>
      <w:r w:rsidRPr="00143F8E">
        <w:t>Moreover, a decade ago, the U.S. Air Force assessed its GPS-related spectrum needs and agreed in a formal Memorandum of Understanding with the Department of Commerce’s NTIA (the government agency charged with overseeing government spectrum users) that the Air Force does not need access to any spectrum outside the GPS-allocated spectrum (1559-1610 MHz). In fact, the Air Force and NTIA specifically agreed that GPS receivers were not entitled to protection outside of 1563-1587 MHz – a subset of the GPS-allocated band.</w:t>
      </w:r>
    </w:p>
    <w:p w14:paraId="2EDEFA59" w14:textId="27503582" w:rsidR="000914F4" w:rsidRPr="00143F8E" w:rsidRDefault="000914F4" w:rsidP="00FC34F6">
      <w:pPr>
        <w:rPr>
          <w:b/>
          <w:bCs/>
        </w:rPr>
      </w:pPr>
    </w:p>
    <w:p w14:paraId="488F8682" w14:textId="2BF037BC" w:rsidR="00A60AA7" w:rsidRPr="00495A90" w:rsidRDefault="002671EF" w:rsidP="00FC34F6">
      <w:pPr>
        <w:rPr>
          <w:b/>
          <w:bCs/>
        </w:rPr>
      </w:pPr>
      <w:r w:rsidRPr="00253972">
        <w:rPr>
          <w:b/>
          <w:bCs/>
          <w:i/>
        </w:rPr>
        <w:t>Myth: The situation Ligado presents is the same as</w:t>
      </w:r>
      <w:r w:rsidR="00A60AA7" w:rsidRPr="00253972">
        <w:rPr>
          <w:b/>
          <w:bCs/>
          <w:i/>
        </w:rPr>
        <w:t xml:space="preserve"> </w:t>
      </w:r>
      <w:r w:rsidRPr="00253972">
        <w:rPr>
          <w:b/>
          <w:i/>
        </w:rPr>
        <w:t xml:space="preserve">shining a 10-watt bulb down the barrel of the Hubble Space Telescope: it would see nothing and be completely blinded. </w:t>
      </w:r>
      <w:r w:rsidR="00A60AA7" w:rsidRPr="00253972">
        <w:rPr>
          <w:b/>
          <w:i/>
        </w:rPr>
        <w:t xml:space="preserve"> Alternatively, it’s the same as </w:t>
      </w:r>
      <w:r w:rsidR="00A60AA7" w:rsidRPr="00253972">
        <w:rPr>
          <w:b/>
          <w:bCs/>
          <w:i/>
        </w:rPr>
        <w:t>trying to hear rustling leaves over the noise of 100 jet engines.</w:t>
      </w:r>
      <w:r w:rsidR="00495A90">
        <w:rPr>
          <w:b/>
          <w:bCs/>
        </w:rPr>
        <w:t xml:space="preserve"> </w:t>
      </w:r>
      <w:r w:rsidR="00495A90" w:rsidRPr="00ED5E39">
        <w:rPr>
          <w:b/>
          <w:bCs/>
          <w:i/>
        </w:rPr>
        <w:t>(Griffin, SASC Hearing)</w:t>
      </w:r>
    </w:p>
    <w:p w14:paraId="6D7B798F" w14:textId="22A8FA52" w:rsidR="00A60AA7" w:rsidRPr="00143F8E" w:rsidRDefault="00A60AA7" w:rsidP="00FC34F6">
      <w:pPr>
        <w:rPr>
          <w:b/>
          <w:bCs/>
        </w:rPr>
      </w:pPr>
    </w:p>
    <w:p w14:paraId="15E4674B" w14:textId="2673D8E7" w:rsidR="00670521" w:rsidRPr="00143F8E" w:rsidRDefault="00A60AA7" w:rsidP="00422B62">
      <w:r w:rsidRPr="00253972">
        <w:rPr>
          <w:b/>
          <w:u w:val="single"/>
        </w:rPr>
        <w:t>Facts</w:t>
      </w:r>
      <w:r w:rsidRPr="00135436">
        <w:t xml:space="preserve">: </w:t>
      </w:r>
      <w:r w:rsidR="00E632CC" w:rsidRPr="00143F8E">
        <w:t xml:space="preserve"> T</w:t>
      </w:r>
      <w:r w:rsidRPr="00143F8E">
        <w:t xml:space="preserve">hese analogies </w:t>
      </w:r>
      <w:r w:rsidR="00E632CC" w:rsidRPr="00143F8E">
        <w:t xml:space="preserve">fail because they </w:t>
      </w:r>
      <w:r w:rsidRPr="00143F8E">
        <w:t xml:space="preserve">conspicuously ignore an essential fact:  the 23 MHz guard band separation between Ligado terrestrial operations and the GPS band.  Given this huge separation between </w:t>
      </w:r>
      <w:r w:rsidR="006237FD" w:rsidRPr="00143F8E">
        <w:t xml:space="preserve">Ligado’s operations and GPS, these analogies collapse.  </w:t>
      </w:r>
    </w:p>
    <w:p w14:paraId="789167E8" w14:textId="77777777" w:rsidR="00670521" w:rsidRPr="00143F8E" w:rsidRDefault="00670521" w:rsidP="000D6691"/>
    <w:p w14:paraId="4BB8980F" w14:textId="7E94D1C0" w:rsidR="00171DA9" w:rsidRPr="00143F8E" w:rsidRDefault="006237FD" w:rsidP="000D6691">
      <w:pPr>
        <w:pStyle w:val="ListParagraph"/>
        <w:numPr>
          <w:ilvl w:val="0"/>
          <w:numId w:val="29"/>
        </w:numPr>
      </w:pPr>
      <w:r w:rsidRPr="00143F8E">
        <w:t>It would defy physics to assume that a 10</w:t>
      </w:r>
      <w:r w:rsidR="00135436">
        <w:t>-w</w:t>
      </w:r>
      <w:r w:rsidRPr="00143F8E">
        <w:t xml:space="preserve">att light could shine down the barrel of any telescope when the light is </w:t>
      </w:r>
      <w:r w:rsidR="00A17EE1" w:rsidRPr="00143F8E">
        <w:t xml:space="preserve">essentially 23 miles away.  </w:t>
      </w:r>
      <w:r w:rsidRPr="00143F8E">
        <w:t xml:space="preserve">  </w:t>
      </w:r>
    </w:p>
    <w:p w14:paraId="14696BF9" w14:textId="77777777" w:rsidR="00670521" w:rsidRPr="00143F8E" w:rsidRDefault="00670521" w:rsidP="000D6691">
      <w:pPr>
        <w:pStyle w:val="ListParagraph"/>
      </w:pPr>
    </w:p>
    <w:p w14:paraId="09A29EFA" w14:textId="2B22D29F" w:rsidR="00171DA9" w:rsidRPr="00143F8E" w:rsidRDefault="006237FD" w:rsidP="000D6691">
      <w:pPr>
        <w:pStyle w:val="ListParagraph"/>
        <w:numPr>
          <w:ilvl w:val="0"/>
          <w:numId w:val="29"/>
        </w:numPr>
      </w:pPr>
      <w:r w:rsidRPr="00143F8E">
        <w:t xml:space="preserve">Similarly, </w:t>
      </w:r>
      <w:r w:rsidR="00670521" w:rsidRPr="00143F8E">
        <w:t xml:space="preserve">when jets taking off are 23 </w:t>
      </w:r>
      <w:r w:rsidR="00A17EE1" w:rsidRPr="00143F8E">
        <w:t xml:space="preserve">miles </w:t>
      </w:r>
      <w:r w:rsidR="00670521" w:rsidRPr="00143F8E">
        <w:t xml:space="preserve">away from the rustling leaves, the leaves actually are </w:t>
      </w:r>
      <w:r w:rsidR="00A17EE1" w:rsidRPr="00143F8E">
        <w:t xml:space="preserve">quite </w:t>
      </w:r>
      <w:r w:rsidR="00670521" w:rsidRPr="00143F8E">
        <w:t>audible</w:t>
      </w:r>
      <w:r w:rsidR="00A17EE1" w:rsidRPr="00143F8E">
        <w:t xml:space="preserve">.  Laws of physics tell us that </w:t>
      </w:r>
      <w:r w:rsidR="00460645" w:rsidRPr="00143F8E">
        <w:t xml:space="preserve">distance </w:t>
      </w:r>
      <w:r w:rsidR="00A17EE1" w:rsidRPr="00143F8E">
        <w:t xml:space="preserve">in geography and in megahertz </w:t>
      </w:r>
      <w:r w:rsidR="00460645" w:rsidRPr="00143F8E">
        <w:t xml:space="preserve">reduces </w:t>
      </w:r>
      <w:r w:rsidR="00A17EE1" w:rsidRPr="00143F8E">
        <w:t xml:space="preserve">substantially </w:t>
      </w:r>
      <w:r w:rsidR="00460645" w:rsidRPr="00143F8E">
        <w:t xml:space="preserve">the impact </w:t>
      </w:r>
      <w:r w:rsidR="00A17EE1" w:rsidRPr="00143F8E">
        <w:t xml:space="preserve">any noise.  That is precisely what the FCC found -- Ligado’s network is so far away that GPS devices will not be affected in just the same way that a telescope or a person in their yard will not be affected.  </w:t>
      </w:r>
      <w:r w:rsidR="00670521" w:rsidRPr="00143F8E">
        <w:t xml:space="preserve">  </w:t>
      </w:r>
    </w:p>
    <w:p w14:paraId="06624F4D" w14:textId="77777777" w:rsidR="00670521" w:rsidRPr="00143F8E" w:rsidRDefault="00670521" w:rsidP="000D6691">
      <w:pPr>
        <w:pStyle w:val="ListParagraph"/>
      </w:pPr>
    </w:p>
    <w:p w14:paraId="4797CFDD" w14:textId="71F6EC0F" w:rsidR="00A60AA7" w:rsidRPr="00143F8E" w:rsidRDefault="00311FBA" w:rsidP="000D6691">
      <w:pPr>
        <w:pStyle w:val="ListParagraph"/>
        <w:numPr>
          <w:ilvl w:val="0"/>
          <w:numId w:val="29"/>
        </w:numPr>
      </w:pPr>
      <w:r w:rsidRPr="00143F8E">
        <w:t>These analogie</w:t>
      </w:r>
      <w:r w:rsidR="00647602" w:rsidRPr="00143F8E">
        <w:t xml:space="preserve">s, which fail to account for a critical </w:t>
      </w:r>
      <w:r w:rsidRPr="00143F8E">
        <w:t xml:space="preserve">reality of Ligado’s terrestrial operations, </w:t>
      </w:r>
      <w:r w:rsidR="00010CFA" w:rsidRPr="00143F8E">
        <w:t>reveal</w:t>
      </w:r>
      <w:r w:rsidR="00A17EE1" w:rsidRPr="00143F8E">
        <w:t>, to quote Senator Cotton, “</w:t>
      </w:r>
      <w:r w:rsidR="00010CFA" w:rsidRPr="00143F8E">
        <w:t xml:space="preserve">the </w:t>
      </w:r>
      <w:r w:rsidR="00B97030" w:rsidRPr="00143F8E">
        <w:t>D</w:t>
      </w:r>
      <w:r w:rsidR="00010CFA" w:rsidRPr="00143F8E">
        <w:t>OD’s demonstration of</w:t>
      </w:r>
      <w:r w:rsidR="00B97030" w:rsidRPr="00143F8E">
        <w:t xml:space="preserve"> an exaggerated sense of scientific and technological certitude.</w:t>
      </w:r>
      <w:r w:rsidR="00A17EE1" w:rsidRPr="00143F8E">
        <w:t xml:space="preserve">” </w:t>
      </w:r>
      <w:r w:rsidR="006237FD" w:rsidRPr="00143F8E">
        <w:t xml:space="preserve">   </w:t>
      </w:r>
    </w:p>
    <w:p w14:paraId="10A765B6" w14:textId="40CA4501" w:rsidR="00A60AA7" w:rsidRPr="00143F8E" w:rsidRDefault="00A60AA7" w:rsidP="00FC34F6"/>
    <w:p w14:paraId="2CF360B5" w14:textId="2E3FBFEB" w:rsidR="002238FE" w:rsidRPr="00253972" w:rsidRDefault="002238FE" w:rsidP="00FC34F6">
      <w:pPr>
        <w:rPr>
          <w:b/>
          <w:bCs/>
          <w:i/>
        </w:rPr>
      </w:pPr>
      <w:r w:rsidRPr="00253972">
        <w:rPr>
          <w:b/>
          <w:bCs/>
          <w:i/>
        </w:rPr>
        <w:t>Myth: The DoD</w:t>
      </w:r>
      <w:r w:rsidR="00FB0A70">
        <w:rPr>
          <w:b/>
          <w:bCs/>
          <w:i/>
        </w:rPr>
        <w:t xml:space="preserve"> is not asking for </w:t>
      </w:r>
      <w:proofErr w:type="spellStart"/>
      <w:r w:rsidR="00FB0A70">
        <w:rPr>
          <w:b/>
          <w:bCs/>
          <w:i/>
        </w:rPr>
        <w:t>Ligado’s</w:t>
      </w:r>
      <w:proofErr w:type="spellEnd"/>
      <w:r w:rsidR="00FB0A70">
        <w:rPr>
          <w:b/>
          <w:bCs/>
          <w:i/>
        </w:rPr>
        <w:t xml:space="preserve"> spectrum to be set aside for GPS </w:t>
      </w:r>
      <w:r w:rsidR="00FB0A70" w:rsidRPr="00ED5E39">
        <w:rPr>
          <w:b/>
          <w:bCs/>
          <w:i/>
        </w:rPr>
        <w:t>(Griffin</w:t>
      </w:r>
      <w:r w:rsidR="00ED5E39" w:rsidRPr="00ED5E39">
        <w:rPr>
          <w:b/>
          <w:bCs/>
          <w:i/>
        </w:rPr>
        <w:t>, SASC Hearing</w:t>
      </w:r>
      <w:r w:rsidR="00FB0A70" w:rsidRPr="00ED5E39">
        <w:rPr>
          <w:b/>
          <w:bCs/>
          <w:i/>
        </w:rPr>
        <w:t>)</w:t>
      </w:r>
    </w:p>
    <w:p w14:paraId="65D91BA1" w14:textId="2E2DB5A1" w:rsidR="002238FE" w:rsidRPr="00143F8E" w:rsidRDefault="002238FE" w:rsidP="00FC34F6">
      <w:pPr>
        <w:rPr>
          <w:b/>
          <w:bCs/>
        </w:rPr>
      </w:pPr>
    </w:p>
    <w:p w14:paraId="2A9DA11B" w14:textId="469F200E" w:rsidR="002238FE" w:rsidRPr="00143F8E" w:rsidRDefault="002238FE" w:rsidP="00FC34F6">
      <w:pPr>
        <w:rPr>
          <w:b/>
          <w:bCs/>
        </w:rPr>
      </w:pPr>
      <w:r w:rsidRPr="00253972">
        <w:rPr>
          <w:b/>
          <w:u w:val="single"/>
        </w:rPr>
        <w:t>Facts</w:t>
      </w:r>
      <w:r w:rsidRPr="00143F8E">
        <w:t xml:space="preserve">: </w:t>
      </w:r>
      <w:r w:rsidR="00EE3CA6">
        <w:t>At</w:t>
      </w:r>
      <w:r w:rsidR="0080508F">
        <w:t xml:space="preserve"> the hearing, DoD </w:t>
      </w:r>
      <w:r w:rsidR="00EE3CA6">
        <w:t xml:space="preserve">said </w:t>
      </w:r>
      <w:r w:rsidR="0080508F">
        <w:t xml:space="preserve">they wanted the whole MSS band to be set aside for use by and the protection of GPS. </w:t>
      </w:r>
      <w:r w:rsidRPr="00143F8E">
        <w:t xml:space="preserve">The DoD acknowledged that the band for which they seek protection goes beyond the band allocated to RNSS (in which GPS is located)—and includes the entirety of the MSS band. But neither DoD nor GPS is authorized to use the entirety of the MSS band; that band includes other lawfully authorized users, including Ligado. </w:t>
      </w:r>
      <w:r w:rsidR="00A17EE1" w:rsidRPr="00143F8E">
        <w:t xml:space="preserve"> </w:t>
      </w:r>
      <w:r w:rsidR="00F54BB2" w:rsidRPr="00143F8E">
        <w:t xml:space="preserve">Blocking </w:t>
      </w:r>
      <w:r w:rsidR="00A16FF7" w:rsidRPr="00143F8E">
        <w:t xml:space="preserve">lawful users of the MSS band from using their spectrum </w:t>
      </w:r>
      <w:r w:rsidR="00047CC1" w:rsidRPr="00143F8E">
        <w:t xml:space="preserve">consistent with rules </w:t>
      </w:r>
      <w:r w:rsidR="00F54BB2" w:rsidRPr="00143F8E">
        <w:t xml:space="preserve">established by the FCC 17 years ago </w:t>
      </w:r>
      <w:r w:rsidR="00A16FF7" w:rsidRPr="00143F8E">
        <w:t xml:space="preserve">in order to </w:t>
      </w:r>
      <w:r w:rsidR="00F54BB2" w:rsidRPr="00143F8E">
        <w:t xml:space="preserve">give DoD access to more spectrum the FCC determines they do not need </w:t>
      </w:r>
      <w:r w:rsidR="002A4134" w:rsidRPr="00143F8E">
        <w:t>would ren</w:t>
      </w:r>
      <w:r w:rsidR="002A4380" w:rsidRPr="00143F8E">
        <w:t>d</w:t>
      </w:r>
      <w:r w:rsidR="002A4134" w:rsidRPr="00143F8E">
        <w:t xml:space="preserve">er the entire band </w:t>
      </w:r>
      <w:r w:rsidR="00F54BB2" w:rsidRPr="00143F8E">
        <w:t xml:space="preserve">commercially worthless, </w:t>
      </w:r>
      <w:r w:rsidR="0014483D" w:rsidRPr="00143F8E">
        <w:t>thus</w:t>
      </w:r>
      <w:r w:rsidR="0086170A" w:rsidRPr="00143F8E">
        <w:t xml:space="preserve"> </w:t>
      </w:r>
      <w:r w:rsidR="00F54BB2" w:rsidRPr="00143F8E">
        <w:t xml:space="preserve">would </w:t>
      </w:r>
      <w:r w:rsidR="0086170A" w:rsidRPr="00143F8E">
        <w:t xml:space="preserve">be </w:t>
      </w:r>
      <w:r w:rsidR="00A16FF7" w:rsidRPr="00143F8E">
        <w:t xml:space="preserve">tantamount to </w:t>
      </w:r>
      <w:r w:rsidR="00047CC1" w:rsidRPr="00143F8E">
        <w:t xml:space="preserve">DoD </w:t>
      </w:r>
      <w:r w:rsidR="00A16FF7" w:rsidRPr="00143F8E">
        <w:t>taking that spectrum</w:t>
      </w:r>
      <w:r w:rsidR="00F54BB2" w:rsidRPr="00143F8E">
        <w:t xml:space="preserve"> without due process or just compensation</w:t>
      </w:r>
      <w:r w:rsidR="00A16FF7" w:rsidRPr="00143F8E">
        <w:t xml:space="preserve">. </w:t>
      </w:r>
    </w:p>
    <w:p w14:paraId="7B715EBA" w14:textId="7EBB0A0F" w:rsidR="002238FE" w:rsidRPr="00143F8E" w:rsidRDefault="002238FE" w:rsidP="00FC34F6">
      <w:pPr>
        <w:rPr>
          <w:b/>
          <w:bCs/>
        </w:rPr>
      </w:pPr>
    </w:p>
    <w:p w14:paraId="687DF069" w14:textId="4B896F41" w:rsidR="00804967" w:rsidRPr="00143F8E" w:rsidRDefault="00EF64F3" w:rsidP="00FC34F6">
      <w:pPr>
        <w:rPr>
          <w:b/>
          <w:bCs/>
          <w:sz w:val="28"/>
          <w:szCs w:val="32"/>
          <w:u w:val="single"/>
        </w:rPr>
      </w:pPr>
      <w:r>
        <w:rPr>
          <w:b/>
          <w:bCs/>
          <w:sz w:val="28"/>
          <w:szCs w:val="32"/>
          <w:u w:val="single"/>
        </w:rPr>
        <w:lastRenderedPageBreak/>
        <w:t>FEDERAL GOVERNMENT POSITION</w:t>
      </w:r>
    </w:p>
    <w:p w14:paraId="4A776158" w14:textId="77777777" w:rsidR="00804967" w:rsidRPr="00253972" w:rsidRDefault="00804967" w:rsidP="00FC34F6">
      <w:pPr>
        <w:rPr>
          <w:b/>
          <w:bCs/>
          <w:i/>
        </w:rPr>
      </w:pPr>
    </w:p>
    <w:p w14:paraId="2E6F90E1" w14:textId="24F75C57" w:rsidR="00523975" w:rsidRPr="00B5094E" w:rsidRDefault="00523975" w:rsidP="00FC34F6">
      <w:pPr>
        <w:rPr>
          <w:b/>
          <w:bCs/>
        </w:rPr>
      </w:pPr>
      <w:r w:rsidRPr="00253972">
        <w:rPr>
          <w:b/>
          <w:bCs/>
          <w:i/>
        </w:rPr>
        <w:t>Myth: The federal government unanimously is opposed to the FCC Order</w:t>
      </w:r>
      <w:r w:rsidR="00856391" w:rsidRPr="00253972">
        <w:rPr>
          <w:b/>
          <w:bCs/>
          <w:i/>
        </w:rPr>
        <w:t>.</w:t>
      </w:r>
      <w:r w:rsidR="00B5094E">
        <w:rPr>
          <w:b/>
          <w:bCs/>
          <w:i/>
        </w:rPr>
        <w:t xml:space="preserve"> </w:t>
      </w:r>
      <w:r w:rsidR="00B5094E" w:rsidRPr="00ED5E39">
        <w:rPr>
          <w:b/>
          <w:bCs/>
          <w:i/>
        </w:rPr>
        <w:t xml:space="preserve">(Inhofe, </w:t>
      </w:r>
      <w:proofErr w:type="spellStart"/>
      <w:r w:rsidR="00B5094E" w:rsidRPr="00ED5E39">
        <w:rPr>
          <w:b/>
          <w:bCs/>
          <w:i/>
        </w:rPr>
        <w:t>Deasy</w:t>
      </w:r>
      <w:proofErr w:type="spellEnd"/>
      <w:r w:rsidR="00B5094E" w:rsidRPr="00ED5E39">
        <w:rPr>
          <w:b/>
          <w:bCs/>
          <w:i/>
        </w:rPr>
        <w:t>, SASC Hearing)</w:t>
      </w:r>
    </w:p>
    <w:p w14:paraId="3B93B0BE" w14:textId="2BF03DFE" w:rsidR="00523975" w:rsidRPr="00143F8E" w:rsidRDefault="00523975" w:rsidP="00FC34F6"/>
    <w:p w14:paraId="6CF2CA03" w14:textId="0F7D5615" w:rsidR="00523975" w:rsidRPr="00143F8E" w:rsidRDefault="00523975" w:rsidP="00A3494C">
      <w:r w:rsidRPr="00253972">
        <w:rPr>
          <w:b/>
          <w:u w:val="single"/>
        </w:rPr>
        <w:t>Facts</w:t>
      </w:r>
      <w:r w:rsidRPr="00CC44D3">
        <w:t>:</w:t>
      </w:r>
      <w:r w:rsidR="00A3494C" w:rsidRPr="00143F8E">
        <w:t xml:space="preserve"> </w:t>
      </w:r>
      <w:r w:rsidR="00387C60" w:rsidRPr="00143F8E">
        <w:t>The Department of State and Department of Justice both issued statements supporting the FCC Order.</w:t>
      </w:r>
      <w:r w:rsidR="009F2508" w:rsidRPr="00143F8E">
        <w:t xml:space="preserve">  The five </w:t>
      </w:r>
      <w:r w:rsidR="00A25975" w:rsidRPr="00143F8E">
        <w:t xml:space="preserve">FCC </w:t>
      </w:r>
      <w:r w:rsidR="009F2508" w:rsidRPr="00143F8E">
        <w:t>Commissioners</w:t>
      </w:r>
      <w:r w:rsidR="00FB7ED4" w:rsidRPr="00143F8E">
        <w:t xml:space="preserve"> on a bipartisan</w:t>
      </w:r>
      <w:r w:rsidR="009F2508" w:rsidRPr="00143F8E">
        <w:t xml:space="preserve"> </w:t>
      </w:r>
      <w:r w:rsidR="008F5888" w:rsidRPr="00143F8E">
        <w:t xml:space="preserve">basis </w:t>
      </w:r>
      <w:r w:rsidR="009F2508" w:rsidRPr="00143F8E">
        <w:t>voted to approve.</w:t>
      </w:r>
      <w:r w:rsidR="00FB7ED4" w:rsidRPr="00143F8E">
        <w:t xml:space="preserve">  And the decision, like all FCC decisions, is now subject to judicial </w:t>
      </w:r>
      <w:r w:rsidR="008F5888" w:rsidRPr="00143F8E">
        <w:t>review</w:t>
      </w:r>
      <w:r w:rsidR="00FB7ED4" w:rsidRPr="00143F8E">
        <w:t xml:space="preserve">. </w:t>
      </w:r>
      <w:r w:rsidR="001B3150" w:rsidRPr="00143F8E">
        <w:t>In addition, the Departments of State, Agriculture, and Treasury as well as the Veteran’s Administration and United States Postal Service (all of whom are members of the IRAC) did NOT sign the Air Force memorandum which was submitted by the NTIA to the FCC on April 10, 2020.</w:t>
      </w:r>
    </w:p>
    <w:p w14:paraId="3FD7CA11" w14:textId="546FC3D1" w:rsidR="00A3494C" w:rsidRPr="00143F8E" w:rsidRDefault="00A3494C" w:rsidP="00A3494C"/>
    <w:p w14:paraId="7CEDBCFF" w14:textId="77777777" w:rsidR="00A3494C" w:rsidRPr="00143F8E" w:rsidRDefault="00DD4891" w:rsidP="00A3494C">
      <w:pPr>
        <w:pStyle w:val="ListParagraph"/>
        <w:numPr>
          <w:ilvl w:val="0"/>
          <w:numId w:val="29"/>
        </w:numPr>
      </w:pPr>
      <w:hyperlink r:id="rId22" w:history="1">
        <w:r w:rsidR="00387C60" w:rsidRPr="00143F8E">
          <w:rPr>
            <w:rStyle w:val="Hyperlink"/>
            <w:rFonts w:ascii="Arial" w:eastAsia="Arial" w:hAnsi="Arial" w:cs="Arial"/>
            <w:bCs/>
            <w:color w:val="auto"/>
          </w:rPr>
          <w:t>U.S. Attorney General William P. Barr’s</w:t>
        </w:r>
      </w:hyperlink>
      <w:r w:rsidR="00387C60" w:rsidRPr="00143F8E">
        <w:rPr>
          <w:rFonts w:eastAsia="Arial" w:cs="Arial"/>
          <w:bCs/>
        </w:rPr>
        <w:t xml:space="preserve"> Statement on FCC Chairman Pai’s Draft Order to Approve Ligado’s Application to Facilitate 5G and Internet of Things Services (April 16, 2020)</w:t>
      </w:r>
    </w:p>
    <w:p w14:paraId="65D3F86B" w14:textId="47C3D253" w:rsidR="00A3494C" w:rsidRPr="00143F8E" w:rsidRDefault="00A3494C" w:rsidP="00A3494C">
      <w:pPr>
        <w:pStyle w:val="ListParagraph"/>
      </w:pPr>
    </w:p>
    <w:p w14:paraId="518E73CF" w14:textId="7EC850E2" w:rsidR="00387C60" w:rsidRPr="00143F8E" w:rsidRDefault="00DD4891" w:rsidP="00A3494C">
      <w:pPr>
        <w:pStyle w:val="ListParagraph"/>
        <w:numPr>
          <w:ilvl w:val="0"/>
          <w:numId w:val="29"/>
        </w:numPr>
      </w:pPr>
      <w:hyperlink r:id="rId23" w:history="1">
        <w:r w:rsidR="00387C60" w:rsidRPr="00143F8E">
          <w:rPr>
            <w:rStyle w:val="Hyperlink"/>
            <w:rFonts w:ascii="Arial" w:eastAsia="Arial" w:hAnsi="Arial" w:cs="Arial"/>
            <w:bCs/>
            <w:color w:val="auto"/>
          </w:rPr>
          <w:t>U.S. Secretary of State Michael R. Pompeo</w:t>
        </w:r>
      </w:hyperlink>
      <w:r w:rsidR="00387C60" w:rsidRPr="00143F8E">
        <w:rPr>
          <w:rFonts w:eastAsia="Arial" w:cs="Arial"/>
          <w:bCs/>
        </w:rPr>
        <w:t xml:space="preserve"> Statement: Support for 5G and Internet of Things Development (April 16, 2020) </w:t>
      </w:r>
    </w:p>
    <w:p w14:paraId="1738D77E" w14:textId="727DF70A" w:rsidR="00EF64F3" w:rsidRDefault="00EF64F3" w:rsidP="00FC34F6">
      <w:pPr>
        <w:rPr>
          <w:iCs/>
        </w:rPr>
      </w:pPr>
      <w:bookmarkStart w:id="0" w:name="_GoBack"/>
      <w:bookmarkEnd w:id="0"/>
    </w:p>
    <w:p w14:paraId="657B2015" w14:textId="44158813" w:rsidR="00EF64F3" w:rsidRDefault="00EF64F3" w:rsidP="00FC34F6">
      <w:pPr>
        <w:rPr>
          <w:iCs/>
        </w:rPr>
      </w:pPr>
      <w:r>
        <w:rPr>
          <w:b/>
          <w:bCs/>
          <w:sz w:val="28"/>
          <w:szCs w:val="32"/>
          <w:u w:val="single"/>
        </w:rPr>
        <w:t>LIGADO and 5G</w:t>
      </w:r>
    </w:p>
    <w:p w14:paraId="4154158F" w14:textId="77777777" w:rsidR="00EF64F3" w:rsidRPr="00143F8E" w:rsidRDefault="00EF64F3" w:rsidP="00FC34F6">
      <w:pPr>
        <w:rPr>
          <w:iCs/>
        </w:rPr>
      </w:pPr>
    </w:p>
    <w:p w14:paraId="5A9FEEBA" w14:textId="318A5C6F" w:rsidR="002A7864" w:rsidRPr="00B5094E" w:rsidRDefault="002A7864" w:rsidP="00FC34F6">
      <w:pPr>
        <w:rPr>
          <w:b/>
          <w:bCs/>
        </w:rPr>
      </w:pPr>
      <w:r w:rsidRPr="00143F8E">
        <w:rPr>
          <w:b/>
          <w:bCs/>
          <w:i/>
        </w:rPr>
        <w:t>Myth: The Ligado proposal and spectrum has nothing to do with repurposing mid-band spectrum, 5G, and competing with China in 5G</w:t>
      </w:r>
      <w:r w:rsidR="00827B81" w:rsidRPr="00143F8E">
        <w:rPr>
          <w:b/>
          <w:bCs/>
          <w:i/>
        </w:rPr>
        <w:t>.</w:t>
      </w:r>
      <w:r w:rsidR="00B5094E">
        <w:rPr>
          <w:b/>
          <w:bCs/>
          <w:i/>
        </w:rPr>
        <w:t xml:space="preserve"> </w:t>
      </w:r>
      <w:r w:rsidR="00B5094E" w:rsidRPr="00ED5E39">
        <w:rPr>
          <w:b/>
          <w:bCs/>
          <w:i/>
        </w:rPr>
        <w:t xml:space="preserve">(Inhofe, Reed, Griffin, </w:t>
      </w:r>
      <w:proofErr w:type="spellStart"/>
      <w:r w:rsidR="00B5094E" w:rsidRPr="00ED5E39">
        <w:rPr>
          <w:b/>
          <w:bCs/>
          <w:i/>
        </w:rPr>
        <w:t>Deasy</w:t>
      </w:r>
      <w:proofErr w:type="spellEnd"/>
      <w:r w:rsidR="00B5094E" w:rsidRPr="00ED5E39">
        <w:rPr>
          <w:b/>
          <w:bCs/>
          <w:i/>
        </w:rPr>
        <w:t>, Allen, SASC Hearing)</w:t>
      </w:r>
    </w:p>
    <w:p w14:paraId="754105E6" w14:textId="5A8C4CE0" w:rsidR="002A7864" w:rsidRPr="00143F8E" w:rsidRDefault="002A7864" w:rsidP="00FC34F6">
      <w:pPr>
        <w:rPr>
          <w:b/>
          <w:bCs/>
        </w:rPr>
      </w:pPr>
    </w:p>
    <w:p w14:paraId="536E252F" w14:textId="0AF4E1A2" w:rsidR="002A7864" w:rsidRPr="00143F8E" w:rsidRDefault="002A7864" w:rsidP="00FC34F6">
      <w:r w:rsidRPr="00253972">
        <w:rPr>
          <w:b/>
          <w:u w:val="single"/>
        </w:rPr>
        <w:t>Fact</w:t>
      </w:r>
      <w:r w:rsidR="00793FCD" w:rsidRPr="00253972">
        <w:rPr>
          <w:b/>
          <w:u w:val="single"/>
        </w:rPr>
        <w:t>s</w:t>
      </w:r>
      <w:r w:rsidRPr="001363C6">
        <w:t>:</w:t>
      </w:r>
      <w:r w:rsidR="00685F4A" w:rsidRPr="00143F8E">
        <w:t xml:space="preserve"> The two primary competitors to China’s Huawei</w:t>
      </w:r>
      <w:r w:rsidR="00F54BB2" w:rsidRPr="00143F8E">
        <w:t xml:space="preserve"> and ZTE</w:t>
      </w:r>
      <w:r w:rsidR="00685F4A" w:rsidRPr="00143F8E">
        <w:t xml:space="preserve"> in 5G infrastructure, Nokia and Ericsson, </w:t>
      </w:r>
      <w:r w:rsidR="00F54BB2" w:rsidRPr="00143F8E">
        <w:t xml:space="preserve">have demonstrated on the record that </w:t>
      </w:r>
      <w:r w:rsidR="00685F4A" w:rsidRPr="00143F8E">
        <w:t xml:space="preserve">Ligado’s spectrum </w:t>
      </w:r>
      <w:r w:rsidR="00F54BB2" w:rsidRPr="00143F8E">
        <w:t xml:space="preserve">can </w:t>
      </w:r>
      <w:r w:rsidR="00685F4A" w:rsidRPr="00143F8E">
        <w:t xml:space="preserve">support and </w:t>
      </w:r>
      <w:r w:rsidR="00F54BB2" w:rsidRPr="00143F8E">
        <w:t xml:space="preserve">enhance the deployment of </w:t>
      </w:r>
      <w:r w:rsidR="00685F4A" w:rsidRPr="00143F8E">
        <w:t>5G services.</w:t>
      </w:r>
    </w:p>
    <w:p w14:paraId="77E28D96" w14:textId="77777777" w:rsidR="00273809" w:rsidRPr="00143F8E" w:rsidRDefault="00273809" w:rsidP="00FC34F6"/>
    <w:p w14:paraId="07038600" w14:textId="4DDA8718" w:rsidR="00D251B1" w:rsidRPr="00143F8E" w:rsidRDefault="00D251B1" w:rsidP="002A7864">
      <w:pPr>
        <w:numPr>
          <w:ilvl w:val="0"/>
          <w:numId w:val="22"/>
        </w:numPr>
      </w:pPr>
      <w:r w:rsidRPr="00143F8E">
        <w:t>Nokia and Ericsson are working with Ligado to support 5G services with features that could improve coverage, capacity, inter-network operability, and lower latency</w:t>
      </w:r>
      <w:r w:rsidR="00685F4A" w:rsidRPr="00143F8E">
        <w:t xml:space="preserve"> </w:t>
      </w:r>
      <w:r w:rsidR="00A00650" w:rsidRPr="00143F8E">
        <w:t xml:space="preserve">though </w:t>
      </w:r>
      <w:r w:rsidR="00685F4A" w:rsidRPr="00143F8E">
        <w:t>using Ligado’s spectrum</w:t>
      </w:r>
      <w:r w:rsidRPr="00143F8E">
        <w:t>.</w:t>
      </w:r>
    </w:p>
    <w:p w14:paraId="3C66832A" w14:textId="77777777" w:rsidR="00A3494C" w:rsidRPr="00143F8E" w:rsidRDefault="00A3494C" w:rsidP="00A3494C">
      <w:pPr>
        <w:ind w:left="720"/>
      </w:pPr>
    </w:p>
    <w:p w14:paraId="7ECA708E" w14:textId="43C2BD98" w:rsidR="002A7864" w:rsidRPr="00143F8E" w:rsidRDefault="002A7864" w:rsidP="002A7864">
      <w:pPr>
        <w:numPr>
          <w:ilvl w:val="0"/>
          <w:numId w:val="22"/>
        </w:numPr>
      </w:pPr>
      <w:r w:rsidRPr="00143F8E">
        <w:rPr>
          <w:b/>
          <w:bCs/>
          <w:i/>
          <w:iCs/>
        </w:rPr>
        <w:t>Nokia</w:t>
      </w:r>
      <w:r w:rsidRPr="00143F8E">
        <w:t xml:space="preserve"> studied Ligado’s proposed use of its spectrum as deployed in the FCC </w:t>
      </w:r>
      <w:r w:rsidR="003B04E4" w:rsidRPr="00143F8E">
        <w:t>O</w:t>
      </w:r>
      <w:r w:rsidRPr="00143F8E">
        <w:t>rder and found that the “combined use of spectrum in the lower mid-band and higher mid-band categories offers significant economic and operational advantages for 5G as compared to higher mid-band only alternatives.”</w:t>
      </w:r>
    </w:p>
    <w:p w14:paraId="3FBFF751" w14:textId="77777777" w:rsidR="00A3494C" w:rsidRPr="00143F8E" w:rsidRDefault="00A3494C" w:rsidP="00A3494C">
      <w:pPr>
        <w:pStyle w:val="ListParagraph"/>
      </w:pPr>
    </w:p>
    <w:p w14:paraId="1DCEBDBE" w14:textId="01730821" w:rsidR="002A7864" w:rsidRPr="00143F8E" w:rsidRDefault="002A7864" w:rsidP="00A3494C">
      <w:pPr>
        <w:numPr>
          <w:ilvl w:val="0"/>
          <w:numId w:val="22"/>
        </w:numPr>
      </w:pPr>
      <w:r w:rsidRPr="00143F8E">
        <w:rPr>
          <w:b/>
          <w:bCs/>
          <w:i/>
          <w:iCs/>
        </w:rPr>
        <w:t>Ericsson</w:t>
      </w:r>
      <w:r w:rsidRPr="00143F8E">
        <w:t xml:space="preserve"> found that using Ligado’s spectrum as deployed in the FCC </w:t>
      </w:r>
      <w:r w:rsidR="003B04E4" w:rsidRPr="00143F8E">
        <w:t>O</w:t>
      </w:r>
      <w:r w:rsidRPr="00143F8E">
        <w:t xml:space="preserve">rder in conjunction with higher-band spectrum would deliver “user experience benefits and performance improvements for 5G as compared to a </w:t>
      </w:r>
      <w:proofErr w:type="gramStart"/>
      <w:r w:rsidRPr="00143F8E">
        <w:t>higher mid-band only deployments</w:t>
      </w:r>
      <w:proofErr w:type="gramEnd"/>
      <w:r w:rsidRPr="00143F8E">
        <w:t xml:space="preserve"> . . . [confirming that] multiple technology paths exist to utilize spectrum [to] provide the optimal solution for combined spectrum use for 5G</w:t>
      </w:r>
      <w:r w:rsidR="00D251B1" w:rsidRPr="00143F8E">
        <w:t>.”</w:t>
      </w:r>
    </w:p>
    <w:p w14:paraId="44E364FC" w14:textId="7ECD0379" w:rsidR="000F344D" w:rsidRPr="00143F8E" w:rsidRDefault="000F344D" w:rsidP="00FC34F6"/>
    <w:p w14:paraId="13F64B75" w14:textId="5DDDEE0E" w:rsidR="000F344D" w:rsidRPr="00143F8E" w:rsidRDefault="000F344D" w:rsidP="00FC34F6"/>
    <w:sectPr w:rsidR="000F344D" w:rsidRPr="00143F8E" w:rsidSect="00253972">
      <w:footerReference w:type="even" r:id="rId24"/>
      <w:footerReference w:type="default" r:id="rId25"/>
      <w:headerReference w:type="first" r:id="rId26"/>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F94F0" w16cex:dateUtc="2020-05-08T12:2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3E157" w14:textId="77777777" w:rsidR="00DD4891" w:rsidRDefault="00DD4891" w:rsidP="00D251B1">
      <w:r>
        <w:separator/>
      </w:r>
    </w:p>
  </w:endnote>
  <w:endnote w:type="continuationSeparator" w:id="0">
    <w:p w14:paraId="609CDAAC" w14:textId="77777777" w:rsidR="00DD4891" w:rsidRDefault="00DD4891" w:rsidP="00D2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3131070"/>
      <w:docPartObj>
        <w:docPartGallery w:val="Page Numbers (Bottom of Page)"/>
        <w:docPartUnique/>
      </w:docPartObj>
    </w:sdtPr>
    <w:sdtEndPr>
      <w:rPr>
        <w:rStyle w:val="PageNumber"/>
      </w:rPr>
    </w:sdtEndPr>
    <w:sdtContent>
      <w:p w14:paraId="5E9E5B6D" w14:textId="62BA5A69" w:rsidR="00B77B32" w:rsidRDefault="00B77B32" w:rsidP="006129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307250" w14:textId="77777777" w:rsidR="00B77B32" w:rsidRDefault="00B77B32" w:rsidP="00B77B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7331093"/>
      <w:docPartObj>
        <w:docPartGallery w:val="Page Numbers (Bottom of Page)"/>
        <w:docPartUnique/>
      </w:docPartObj>
    </w:sdtPr>
    <w:sdtEndPr>
      <w:rPr>
        <w:rStyle w:val="PageNumber"/>
      </w:rPr>
    </w:sdtEndPr>
    <w:sdtContent>
      <w:p w14:paraId="2AEC2E5E" w14:textId="67B736A4" w:rsidR="00B77B32" w:rsidRDefault="00B77B32" w:rsidP="006129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53972">
          <w:rPr>
            <w:rStyle w:val="PageNumber"/>
            <w:noProof/>
          </w:rPr>
          <w:t>6</w:t>
        </w:r>
        <w:r>
          <w:rPr>
            <w:rStyle w:val="PageNumber"/>
          </w:rPr>
          <w:fldChar w:fldCharType="end"/>
        </w:r>
      </w:p>
    </w:sdtContent>
  </w:sdt>
  <w:p w14:paraId="3B183669" w14:textId="77777777" w:rsidR="00B77B32" w:rsidRDefault="00B77B32" w:rsidP="00B77B3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8E2C7" w14:textId="77777777" w:rsidR="00DD4891" w:rsidRDefault="00DD4891" w:rsidP="00D251B1">
      <w:r>
        <w:separator/>
      </w:r>
    </w:p>
  </w:footnote>
  <w:footnote w:type="continuationSeparator" w:id="0">
    <w:p w14:paraId="55BF5DB6" w14:textId="77777777" w:rsidR="00DD4891" w:rsidRDefault="00DD4891" w:rsidP="00D25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9D8B2" w14:textId="7C137D0D" w:rsidR="00253972" w:rsidRDefault="00253972">
    <w:pPr>
      <w:pStyle w:val="Header"/>
    </w:pPr>
    <w:r>
      <w:rPr>
        <w:noProof/>
      </w:rPr>
      <mc:AlternateContent>
        <mc:Choice Requires="wps">
          <w:drawing>
            <wp:anchor distT="0" distB="0" distL="114300" distR="114300" simplePos="0" relativeHeight="251659264" behindDoc="1" locked="0" layoutInCell="1" allowOverlap="1" wp14:anchorId="12B14988" wp14:editId="2228B12F">
              <wp:simplePos x="0" y="0"/>
              <wp:positionH relativeFrom="page">
                <wp:posOffset>5745480</wp:posOffset>
              </wp:positionH>
              <wp:positionV relativeFrom="page">
                <wp:posOffset>310515</wp:posOffset>
              </wp:positionV>
              <wp:extent cx="1112520" cy="388620"/>
              <wp:effectExtent l="0" t="0" r="11430" b="11430"/>
              <wp:wrapNone/>
              <wp:docPr id="1" name="Stamp-5/8/202011:57:22 AM"/>
              <wp:cNvGraphicFramePr/>
              <a:graphic xmlns:a="http://schemas.openxmlformats.org/drawingml/2006/main">
                <a:graphicData uri="http://schemas.microsoft.com/office/word/2010/wordprocessingShape">
                  <wps:wsp>
                    <wps:cNvSpPr txBox="1"/>
                    <wps:spPr>
                      <a:xfrm>
                        <a:off x="0" y="0"/>
                        <a:ext cx="1112520" cy="388620"/>
                      </a:xfrm>
                      <a:prstGeom prst="rect">
                        <a:avLst/>
                      </a:prstGeom>
                      <a:solidFill>
                        <a:srgbClr val="E6E6E6"/>
                      </a:solidFill>
                      <a:ln w="6350">
                        <a:solidFill>
                          <a:prstClr val="black"/>
                        </a:solidFill>
                      </a:ln>
                    </wps:spPr>
                    <wps:txbx>
                      <w:txbxContent>
                        <w:p w14:paraId="4E0E318C" w14:textId="77777777" w:rsidR="00253972" w:rsidRPr="00253972" w:rsidRDefault="00253972" w:rsidP="00253972">
                          <w:pPr>
                            <w:jc w:val="center"/>
                            <w:rPr>
                              <w:b/>
                              <w:sz w:val="24"/>
                            </w:rPr>
                          </w:pPr>
                          <w:r w:rsidRPr="00253972">
                            <w:rPr>
                              <w:b/>
                              <w:sz w:val="24"/>
                            </w:rPr>
                            <w:t>DRAFT</w:t>
                          </w:r>
                        </w:p>
                        <w:p w14:paraId="492C8A2A" w14:textId="388601AE" w:rsidR="00253972" w:rsidRPr="00253972" w:rsidRDefault="00253972" w:rsidP="00253972">
                          <w:pPr>
                            <w:jc w:val="center"/>
                            <w:rPr>
                              <w:b/>
                              <w:sz w:val="24"/>
                            </w:rPr>
                          </w:pPr>
                          <w:r w:rsidRPr="00253972">
                            <w:rPr>
                              <w:b/>
                              <w:sz w:val="24"/>
                            </w:rPr>
                            <w:fldChar w:fldCharType="begin"/>
                          </w:r>
                          <w:r w:rsidRPr="00253972">
                            <w:rPr>
                              <w:b/>
                              <w:sz w:val="24"/>
                            </w:rPr>
                            <w:instrText xml:space="preserve"> DATE \@ "MMMM d, yyyy" </w:instrText>
                          </w:r>
                          <w:r w:rsidRPr="00253972">
                            <w:rPr>
                              <w:b/>
                              <w:sz w:val="24"/>
                            </w:rPr>
                            <w:fldChar w:fldCharType="separate"/>
                          </w:r>
                          <w:r w:rsidR="00B5094E">
                            <w:rPr>
                              <w:b/>
                              <w:noProof/>
                              <w:sz w:val="24"/>
                            </w:rPr>
                            <w:t>May 8, 2020</w:t>
                          </w:r>
                          <w:r w:rsidRPr="00253972">
                            <w:rPr>
                              <w:b/>
                              <w:sz w:val="24"/>
                            </w:rPr>
                            <w:fldChar w:fldCharType="end"/>
                          </w:r>
                        </w:p>
                      </w:txbxContent>
                    </wps:txbx>
                    <wps:bodyPr rot="0" spcFirstLastPara="0" vertOverflow="overflow" horzOverflow="overflow" vert="horz" wrap="square" lIns="91440" tIns="18288"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B14988" id="_x0000_t202" coordsize="21600,21600" o:spt="202" path="m,l,21600r21600,l21600,xe">
              <v:stroke joinstyle="miter"/>
              <v:path gradientshapeok="t" o:connecttype="rect"/>
            </v:shapetype>
            <v:shape id="Stamp-5/8/202011:57:22 AM" o:spid="_x0000_s1026" type="#_x0000_t202" style="position:absolute;margin-left:452.4pt;margin-top:24.45pt;width:87.6pt;height:30.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" fillcolor="#e6e6e6" strokeweight=".5pt">
              <v:textbox inset=",1.44pt">
                <w:txbxContent>
                  <w:p w14:paraId="4E0E318C" w14:textId="77777777" w:rsidR="00253972" w:rsidRPr="00253972" w:rsidRDefault="00253972" w:rsidP="00253972">
                    <w:pPr>
                      <w:jc w:val="center"/>
                      <w:rPr>
                        <w:b/>
                        <w:sz w:val="24"/>
                      </w:rPr>
                    </w:pPr>
                    <w:r w:rsidRPr="00253972">
                      <w:rPr>
                        <w:b/>
                        <w:sz w:val="24"/>
                      </w:rPr>
                      <w:t>DRAFT</w:t>
                    </w:r>
                  </w:p>
                  <w:p w14:paraId="492C8A2A" w14:textId="388601AE" w:rsidR="00253972" w:rsidRPr="00253972" w:rsidRDefault="00253972" w:rsidP="00253972">
                    <w:pPr>
                      <w:jc w:val="center"/>
                      <w:rPr>
                        <w:b/>
                        <w:sz w:val="24"/>
                      </w:rPr>
                    </w:pPr>
                    <w:r w:rsidRPr="00253972">
                      <w:rPr>
                        <w:b/>
                        <w:sz w:val="24"/>
                      </w:rPr>
                      <w:fldChar w:fldCharType="begin"/>
                    </w:r>
                    <w:r w:rsidRPr="00253972">
                      <w:rPr>
                        <w:b/>
                        <w:sz w:val="24"/>
                      </w:rPr>
                      <w:instrText xml:space="preserve"> DATE \@ "MMMM d, yyyy" </w:instrText>
                    </w:r>
                    <w:r w:rsidRPr="00253972">
                      <w:rPr>
                        <w:b/>
                        <w:sz w:val="24"/>
                      </w:rPr>
                      <w:fldChar w:fldCharType="separate"/>
                    </w:r>
                    <w:r w:rsidR="00B5094E">
                      <w:rPr>
                        <w:b/>
                        <w:noProof/>
                        <w:sz w:val="24"/>
                      </w:rPr>
                      <w:t>May 8, 2020</w:t>
                    </w:r>
                    <w:r w:rsidRPr="00253972">
                      <w:rPr>
                        <w:b/>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9049B1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E836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04264E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F72314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8F88F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F0C67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7ACF4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DC8B2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3CC8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C3EF4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851D2F"/>
    <w:multiLevelType w:val="hybridMultilevel"/>
    <w:tmpl w:val="8EAC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FF4A99"/>
    <w:multiLevelType w:val="hybridMultilevel"/>
    <w:tmpl w:val="06B80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090411"/>
    <w:multiLevelType w:val="hybridMultilevel"/>
    <w:tmpl w:val="75A22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83AA4"/>
    <w:multiLevelType w:val="hybridMultilevel"/>
    <w:tmpl w:val="910AA286"/>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4" w15:restartNumberingAfterBreak="0">
    <w:nsid w:val="287F4BC0"/>
    <w:multiLevelType w:val="hybridMultilevel"/>
    <w:tmpl w:val="95EA9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47040E"/>
    <w:multiLevelType w:val="hybridMultilevel"/>
    <w:tmpl w:val="612E8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186D02"/>
    <w:multiLevelType w:val="hybridMultilevel"/>
    <w:tmpl w:val="6988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3C6B33"/>
    <w:multiLevelType w:val="hybridMultilevel"/>
    <w:tmpl w:val="6E98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4063B8"/>
    <w:multiLevelType w:val="hybridMultilevel"/>
    <w:tmpl w:val="ABE61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1159BF"/>
    <w:multiLevelType w:val="hybridMultilevel"/>
    <w:tmpl w:val="91CC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7C21B0"/>
    <w:multiLevelType w:val="hybridMultilevel"/>
    <w:tmpl w:val="481E2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045A25"/>
    <w:multiLevelType w:val="hybridMultilevel"/>
    <w:tmpl w:val="16844E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543498"/>
    <w:multiLevelType w:val="hybridMultilevel"/>
    <w:tmpl w:val="A3B83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874D89"/>
    <w:multiLevelType w:val="hybridMultilevel"/>
    <w:tmpl w:val="9496C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B13667"/>
    <w:multiLevelType w:val="hybridMultilevel"/>
    <w:tmpl w:val="7876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E31C06"/>
    <w:multiLevelType w:val="hybridMultilevel"/>
    <w:tmpl w:val="EF14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205EAE"/>
    <w:multiLevelType w:val="hybridMultilevel"/>
    <w:tmpl w:val="D33090F2"/>
    <w:lvl w:ilvl="0" w:tplc="2C808D5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4370CB"/>
    <w:multiLevelType w:val="hybridMultilevel"/>
    <w:tmpl w:val="E4D8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2615E8"/>
    <w:multiLevelType w:val="multilevel"/>
    <w:tmpl w:val="2B4E9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9"/>
  </w:num>
  <w:num w:numId="15">
    <w:abstractNumId w:val="12"/>
  </w:num>
  <w:num w:numId="16">
    <w:abstractNumId w:val="16"/>
  </w:num>
  <w:num w:numId="17">
    <w:abstractNumId w:val="23"/>
  </w:num>
  <w:num w:numId="18">
    <w:abstractNumId w:val="20"/>
  </w:num>
  <w:num w:numId="19">
    <w:abstractNumId w:val="24"/>
  </w:num>
  <w:num w:numId="20">
    <w:abstractNumId w:val="18"/>
  </w:num>
  <w:num w:numId="21">
    <w:abstractNumId w:val="21"/>
  </w:num>
  <w:num w:numId="22">
    <w:abstractNumId w:val="17"/>
  </w:num>
  <w:num w:numId="23">
    <w:abstractNumId w:val="13"/>
  </w:num>
  <w:num w:numId="24">
    <w:abstractNumId w:val="27"/>
  </w:num>
  <w:num w:numId="25">
    <w:abstractNumId w:val="11"/>
  </w:num>
  <w:num w:numId="26">
    <w:abstractNumId w:val="28"/>
  </w:num>
  <w:num w:numId="27">
    <w:abstractNumId w:val="25"/>
  </w:num>
  <w:num w:numId="28">
    <w:abstractNumId w:val="14"/>
  </w:num>
  <w:num w:numId="29">
    <w:abstractNumId w:val="26"/>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6EE"/>
    <w:rsid w:val="00005A6D"/>
    <w:rsid w:val="00010CFA"/>
    <w:rsid w:val="000237EC"/>
    <w:rsid w:val="0004360C"/>
    <w:rsid w:val="00047CC1"/>
    <w:rsid w:val="00057883"/>
    <w:rsid w:val="000625CA"/>
    <w:rsid w:val="000648E9"/>
    <w:rsid w:val="00073996"/>
    <w:rsid w:val="00083305"/>
    <w:rsid w:val="000914F4"/>
    <w:rsid w:val="00092B9A"/>
    <w:rsid w:val="00097796"/>
    <w:rsid w:val="000A7AFC"/>
    <w:rsid w:val="000C5843"/>
    <w:rsid w:val="000C680D"/>
    <w:rsid w:val="000D14D3"/>
    <w:rsid w:val="000D6691"/>
    <w:rsid w:val="000F344D"/>
    <w:rsid w:val="000F739F"/>
    <w:rsid w:val="00112D6B"/>
    <w:rsid w:val="00117EDD"/>
    <w:rsid w:val="00135436"/>
    <w:rsid w:val="001363C6"/>
    <w:rsid w:val="001404D7"/>
    <w:rsid w:val="00143F8E"/>
    <w:rsid w:val="0014483D"/>
    <w:rsid w:val="0014510E"/>
    <w:rsid w:val="00155FD2"/>
    <w:rsid w:val="0016657D"/>
    <w:rsid w:val="00171DA9"/>
    <w:rsid w:val="00180DF2"/>
    <w:rsid w:val="001959E9"/>
    <w:rsid w:val="001B3150"/>
    <w:rsid w:val="001C0A66"/>
    <w:rsid w:val="001D2E01"/>
    <w:rsid w:val="001E3A00"/>
    <w:rsid w:val="001E492C"/>
    <w:rsid w:val="001F5FAD"/>
    <w:rsid w:val="00200273"/>
    <w:rsid w:val="002066A7"/>
    <w:rsid w:val="0020743B"/>
    <w:rsid w:val="00211B30"/>
    <w:rsid w:val="002238FE"/>
    <w:rsid w:val="00240344"/>
    <w:rsid w:val="00253972"/>
    <w:rsid w:val="002656DD"/>
    <w:rsid w:val="002671EF"/>
    <w:rsid w:val="00273809"/>
    <w:rsid w:val="00285013"/>
    <w:rsid w:val="00287538"/>
    <w:rsid w:val="0029713D"/>
    <w:rsid w:val="002A4134"/>
    <w:rsid w:val="002A4380"/>
    <w:rsid w:val="002A7864"/>
    <w:rsid w:val="002B19A3"/>
    <w:rsid w:val="002B5B25"/>
    <w:rsid w:val="002B66EE"/>
    <w:rsid w:val="002C58AF"/>
    <w:rsid w:val="002D4934"/>
    <w:rsid w:val="002D631F"/>
    <w:rsid w:val="0030229C"/>
    <w:rsid w:val="00302F43"/>
    <w:rsid w:val="00311FBA"/>
    <w:rsid w:val="003313EB"/>
    <w:rsid w:val="00350BE8"/>
    <w:rsid w:val="003561E1"/>
    <w:rsid w:val="003720B7"/>
    <w:rsid w:val="00373F27"/>
    <w:rsid w:val="00386B4E"/>
    <w:rsid w:val="00387C60"/>
    <w:rsid w:val="00391E8B"/>
    <w:rsid w:val="003A24E1"/>
    <w:rsid w:val="003A334F"/>
    <w:rsid w:val="003B04E4"/>
    <w:rsid w:val="003B4C87"/>
    <w:rsid w:val="003B61B8"/>
    <w:rsid w:val="003E20C5"/>
    <w:rsid w:val="00420B3E"/>
    <w:rsid w:val="00422B62"/>
    <w:rsid w:val="004401DE"/>
    <w:rsid w:val="00443301"/>
    <w:rsid w:val="00447ED2"/>
    <w:rsid w:val="0045397C"/>
    <w:rsid w:val="00460645"/>
    <w:rsid w:val="0047280E"/>
    <w:rsid w:val="00490AB8"/>
    <w:rsid w:val="00492782"/>
    <w:rsid w:val="00495A90"/>
    <w:rsid w:val="004B040E"/>
    <w:rsid w:val="004E3074"/>
    <w:rsid w:val="00505CDE"/>
    <w:rsid w:val="00512A1C"/>
    <w:rsid w:val="00517DFA"/>
    <w:rsid w:val="00523975"/>
    <w:rsid w:val="00561686"/>
    <w:rsid w:val="00571AC2"/>
    <w:rsid w:val="0057395B"/>
    <w:rsid w:val="00585851"/>
    <w:rsid w:val="00586FBD"/>
    <w:rsid w:val="00597827"/>
    <w:rsid w:val="005B0F60"/>
    <w:rsid w:val="005B12CA"/>
    <w:rsid w:val="005B536C"/>
    <w:rsid w:val="005C3113"/>
    <w:rsid w:val="005C5C6A"/>
    <w:rsid w:val="005D441A"/>
    <w:rsid w:val="005F22B8"/>
    <w:rsid w:val="005F2745"/>
    <w:rsid w:val="005F2E58"/>
    <w:rsid w:val="00612265"/>
    <w:rsid w:val="006129B9"/>
    <w:rsid w:val="0061628A"/>
    <w:rsid w:val="006237FD"/>
    <w:rsid w:val="00636FA8"/>
    <w:rsid w:val="00647602"/>
    <w:rsid w:val="006538E7"/>
    <w:rsid w:val="00666E04"/>
    <w:rsid w:val="00670521"/>
    <w:rsid w:val="00682918"/>
    <w:rsid w:val="00685F4A"/>
    <w:rsid w:val="006922B4"/>
    <w:rsid w:val="006B232D"/>
    <w:rsid w:val="006C1CC6"/>
    <w:rsid w:val="006C2E30"/>
    <w:rsid w:val="006C36AD"/>
    <w:rsid w:val="006E0698"/>
    <w:rsid w:val="006F3A9F"/>
    <w:rsid w:val="006F4BD1"/>
    <w:rsid w:val="00726547"/>
    <w:rsid w:val="00737E4C"/>
    <w:rsid w:val="00754A4C"/>
    <w:rsid w:val="00777E73"/>
    <w:rsid w:val="0078415E"/>
    <w:rsid w:val="0079053C"/>
    <w:rsid w:val="00790CA9"/>
    <w:rsid w:val="00792F01"/>
    <w:rsid w:val="00793FCD"/>
    <w:rsid w:val="007A0975"/>
    <w:rsid w:val="007A32B4"/>
    <w:rsid w:val="007B6C80"/>
    <w:rsid w:val="007C6E98"/>
    <w:rsid w:val="007D04CD"/>
    <w:rsid w:val="007F7C70"/>
    <w:rsid w:val="008017D4"/>
    <w:rsid w:val="00804967"/>
    <w:rsid w:val="0080508F"/>
    <w:rsid w:val="008150F5"/>
    <w:rsid w:val="008162F1"/>
    <w:rsid w:val="00827B81"/>
    <w:rsid w:val="00837601"/>
    <w:rsid w:val="00856391"/>
    <w:rsid w:val="0086170A"/>
    <w:rsid w:val="008641FE"/>
    <w:rsid w:val="00883F7D"/>
    <w:rsid w:val="008A5120"/>
    <w:rsid w:val="008B079D"/>
    <w:rsid w:val="008B7B33"/>
    <w:rsid w:val="008C4615"/>
    <w:rsid w:val="008C510A"/>
    <w:rsid w:val="008D6228"/>
    <w:rsid w:val="008F35C7"/>
    <w:rsid w:val="008F5888"/>
    <w:rsid w:val="00915163"/>
    <w:rsid w:val="00915654"/>
    <w:rsid w:val="009929C3"/>
    <w:rsid w:val="009A4783"/>
    <w:rsid w:val="009B32B7"/>
    <w:rsid w:val="009D6ED9"/>
    <w:rsid w:val="009F2508"/>
    <w:rsid w:val="009F72BB"/>
    <w:rsid w:val="00A00650"/>
    <w:rsid w:val="00A16FF7"/>
    <w:rsid w:val="00A17EE1"/>
    <w:rsid w:val="00A210C8"/>
    <w:rsid w:val="00A25975"/>
    <w:rsid w:val="00A3494C"/>
    <w:rsid w:val="00A52FFD"/>
    <w:rsid w:val="00A572C7"/>
    <w:rsid w:val="00A60AA7"/>
    <w:rsid w:val="00A6231C"/>
    <w:rsid w:val="00A719D1"/>
    <w:rsid w:val="00A96F6F"/>
    <w:rsid w:val="00A97657"/>
    <w:rsid w:val="00AC02F1"/>
    <w:rsid w:val="00AF5C7B"/>
    <w:rsid w:val="00B21F52"/>
    <w:rsid w:val="00B257B1"/>
    <w:rsid w:val="00B32470"/>
    <w:rsid w:val="00B377D7"/>
    <w:rsid w:val="00B46C22"/>
    <w:rsid w:val="00B5001B"/>
    <w:rsid w:val="00B5094E"/>
    <w:rsid w:val="00B73934"/>
    <w:rsid w:val="00B77B32"/>
    <w:rsid w:val="00B8066C"/>
    <w:rsid w:val="00B97030"/>
    <w:rsid w:val="00BA5C33"/>
    <w:rsid w:val="00BA66A9"/>
    <w:rsid w:val="00BB22BE"/>
    <w:rsid w:val="00BC4362"/>
    <w:rsid w:val="00BC4A77"/>
    <w:rsid w:val="00BE2B0D"/>
    <w:rsid w:val="00BE671A"/>
    <w:rsid w:val="00C0485F"/>
    <w:rsid w:val="00C14AD4"/>
    <w:rsid w:val="00C57B14"/>
    <w:rsid w:val="00C64808"/>
    <w:rsid w:val="00C70AEE"/>
    <w:rsid w:val="00C76FB1"/>
    <w:rsid w:val="00C77712"/>
    <w:rsid w:val="00C8359C"/>
    <w:rsid w:val="00C876DF"/>
    <w:rsid w:val="00C94CBC"/>
    <w:rsid w:val="00CA4026"/>
    <w:rsid w:val="00CB01F3"/>
    <w:rsid w:val="00CB076A"/>
    <w:rsid w:val="00CB4B3F"/>
    <w:rsid w:val="00CC3E0E"/>
    <w:rsid w:val="00CC44D3"/>
    <w:rsid w:val="00CC5DAB"/>
    <w:rsid w:val="00CE2E46"/>
    <w:rsid w:val="00CE514E"/>
    <w:rsid w:val="00D015D0"/>
    <w:rsid w:val="00D20740"/>
    <w:rsid w:val="00D251B1"/>
    <w:rsid w:val="00D32238"/>
    <w:rsid w:val="00D443E7"/>
    <w:rsid w:val="00D4442A"/>
    <w:rsid w:val="00D46359"/>
    <w:rsid w:val="00D816A6"/>
    <w:rsid w:val="00D91708"/>
    <w:rsid w:val="00DD0B29"/>
    <w:rsid w:val="00DD4178"/>
    <w:rsid w:val="00DD4891"/>
    <w:rsid w:val="00E0042F"/>
    <w:rsid w:val="00E4239D"/>
    <w:rsid w:val="00E444F8"/>
    <w:rsid w:val="00E47250"/>
    <w:rsid w:val="00E632CC"/>
    <w:rsid w:val="00E7035C"/>
    <w:rsid w:val="00E721B9"/>
    <w:rsid w:val="00E80F17"/>
    <w:rsid w:val="00EB465A"/>
    <w:rsid w:val="00EC0E67"/>
    <w:rsid w:val="00ED0F92"/>
    <w:rsid w:val="00ED5E39"/>
    <w:rsid w:val="00ED604D"/>
    <w:rsid w:val="00ED7848"/>
    <w:rsid w:val="00EE3CA6"/>
    <w:rsid w:val="00EF64F3"/>
    <w:rsid w:val="00F23193"/>
    <w:rsid w:val="00F232F8"/>
    <w:rsid w:val="00F26913"/>
    <w:rsid w:val="00F31267"/>
    <w:rsid w:val="00F34D01"/>
    <w:rsid w:val="00F361D8"/>
    <w:rsid w:val="00F3637C"/>
    <w:rsid w:val="00F46B9D"/>
    <w:rsid w:val="00F50229"/>
    <w:rsid w:val="00F54BB2"/>
    <w:rsid w:val="00F66444"/>
    <w:rsid w:val="00F776BC"/>
    <w:rsid w:val="00F97A14"/>
    <w:rsid w:val="00F97E57"/>
    <w:rsid w:val="00FA027D"/>
    <w:rsid w:val="00FB0A70"/>
    <w:rsid w:val="00FB2A4B"/>
    <w:rsid w:val="00FB7ED4"/>
    <w:rsid w:val="00FC121A"/>
    <w:rsid w:val="00FC34F6"/>
    <w:rsid w:val="00FD66F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E179C3"/>
  <w14:defaultImageDpi w14:val="330"/>
  <w15:chartTrackingRefBased/>
  <w15:docId w15:val="{E4C31DFD-0CA3-4A38-856F-AD42BE426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918"/>
    <w:pPr>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2918"/>
    <w:rPr>
      <w:rFonts w:ascii="Verdana" w:hAnsi="Verdana"/>
      <w:caps w:val="0"/>
      <w:smallCaps w:val="0"/>
      <w:strike w:val="0"/>
      <w:dstrike w:val="0"/>
      <w:vanish w:val="0"/>
      <w:color w:val="0000FF"/>
      <w:sz w:val="20"/>
      <w:u w:val="single"/>
      <w:vertAlign w:val="baseline"/>
    </w:rPr>
  </w:style>
  <w:style w:type="character" w:styleId="FollowedHyperlink">
    <w:name w:val="FollowedHyperlink"/>
    <w:basedOn w:val="DefaultParagraphFont"/>
    <w:uiPriority w:val="99"/>
    <w:semiHidden/>
    <w:unhideWhenUsed/>
    <w:rsid w:val="00682918"/>
    <w:rPr>
      <w:color w:val="0000FF"/>
      <w:u w:val="single"/>
    </w:rPr>
  </w:style>
  <w:style w:type="paragraph" w:styleId="ListBullet">
    <w:name w:val="List Bullet"/>
    <w:basedOn w:val="Normal"/>
    <w:uiPriority w:val="99"/>
    <w:unhideWhenUsed/>
    <w:rsid w:val="00682918"/>
    <w:pPr>
      <w:numPr>
        <w:numId w:val="2"/>
      </w:numPr>
    </w:pPr>
  </w:style>
  <w:style w:type="character" w:customStyle="1" w:styleId="UnresolvedMention1">
    <w:name w:val="Unresolved Mention1"/>
    <w:basedOn w:val="DefaultParagraphFont"/>
    <w:uiPriority w:val="99"/>
    <w:semiHidden/>
    <w:unhideWhenUsed/>
    <w:rsid w:val="00443301"/>
    <w:rPr>
      <w:color w:val="605E5C"/>
      <w:shd w:val="clear" w:color="auto" w:fill="E1DFDD"/>
    </w:rPr>
  </w:style>
  <w:style w:type="paragraph" w:styleId="ListParagraph">
    <w:name w:val="List Paragraph"/>
    <w:basedOn w:val="Normal"/>
    <w:uiPriority w:val="34"/>
    <w:qFormat/>
    <w:rsid w:val="00F31267"/>
    <w:pPr>
      <w:ind w:left="720"/>
    </w:pPr>
  </w:style>
  <w:style w:type="paragraph" w:styleId="Header">
    <w:name w:val="header"/>
    <w:basedOn w:val="Normal"/>
    <w:link w:val="HeaderChar"/>
    <w:uiPriority w:val="99"/>
    <w:unhideWhenUsed/>
    <w:rsid w:val="00793FCD"/>
    <w:pPr>
      <w:tabs>
        <w:tab w:val="center" w:pos="4680"/>
        <w:tab w:val="right" w:pos="9360"/>
      </w:tabs>
    </w:pPr>
  </w:style>
  <w:style w:type="character" w:customStyle="1" w:styleId="HeaderChar">
    <w:name w:val="Header Char"/>
    <w:basedOn w:val="DefaultParagraphFont"/>
    <w:link w:val="Header"/>
    <w:uiPriority w:val="99"/>
    <w:rsid w:val="00793FCD"/>
  </w:style>
  <w:style w:type="paragraph" w:styleId="Footer">
    <w:name w:val="footer"/>
    <w:basedOn w:val="Normal"/>
    <w:link w:val="FooterChar"/>
    <w:uiPriority w:val="99"/>
    <w:unhideWhenUsed/>
    <w:rsid w:val="00793FCD"/>
    <w:pPr>
      <w:tabs>
        <w:tab w:val="center" w:pos="4680"/>
        <w:tab w:val="right" w:pos="9360"/>
      </w:tabs>
    </w:pPr>
  </w:style>
  <w:style w:type="character" w:customStyle="1" w:styleId="FooterChar">
    <w:name w:val="Footer Char"/>
    <w:basedOn w:val="DefaultParagraphFont"/>
    <w:link w:val="Footer"/>
    <w:uiPriority w:val="99"/>
    <w:rsid w:val="00793FCD"/>
  </w:style>
  <w:style w:type="paragraph" w:styleId="BalloonText">
    <w:name w:val="Balloon Text"/>
    <w:basedOn w:val="Normal"/>
    <w:link w:val="BalloonTextChar"/>
    <w:uiPriority w:val="99"/>
    <w:semiHidden/>
    <w:unhideWhenUsed/>
    <w:rsid w:val="004E30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074"/>
    <w:rPr>
      <w:rFonts w:ascii="Segoe UI" w:hAnsi="Segoe UI" w:cs="Segoe UI"/>
      <w:sz w:val="18"/>
      <w:szCs w:val="18"/>
    </w:rPr>
  </w:style>
  <w:style w:type="paragraph" w:styleId="NormalWeb">
    <w:name w:val="Normal (Web)"/>
    <w:basedOn w:val="Normal"/>
    <w:uiPriority w:val="99"/>
    <w:semiHidden/>
    <w:unhideWhenUsed/>
    <w:rsid w:val="00ED7848"/>
    <w:pPr>
      <w:spacing w:before="100" w:beforeAutospacing="1" w:after="100" w:afterAutospacing="1"/>
      <w:contextualSpacing w:val="0"/>
    </w:pPr>
    <w:rPr>
      <w:rFonts w:ascii="Times New Roman" w:eastAsia="Times New Roman" w:hAnsi="Times New Roman" w:cs="Times New Roman"/>
      <w:sz w:val="24"/>
      <w:szCs w:val="24"/>
    </w:rPr>
  </w:style>
  <w:style w:type="table" w:styleId="TableGrid">
    <w:name w:val="Table Grid"/>
    <w:basedOn w:val="TableNormal"/>
    <w:uiPriority w:val="39"/>
    <w:rsid w:val="003E2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77B32"/>
  </w:style>
  <w:style w:type="character" w:styleId="CommentReference">
    <w:name w:val="annotation reference"/>
    <w:basedOn w:val="DefaultParagraphFont"/>
    <w:uiPriority w:val="99"/>
    <w:semiHidden/>
    <w:unhideWhenUsed/>
    <w:rsid w:val="005C3113"/>
    <w:rPr>
      <w:sz w:val="16"/>
      <w:szCs w:val="16"/>
    </w:rPr>
  </w:style>
  <w:style w:type="paragraph" w:styleId="CommentText">
    <w:name w:val="annotation text"/>
    <w:basedOn w:val="Normal"/>
    <w:link w:val="CommentTextChar"/>
    <w:uiPriority w:val="99"/>
    <w:semiHidden/>
    <w:unhideWhenUsed/>
    <w:rsid w:val="005C3113"/>
  </w:style>
  <w:style w:type="character" w:customStyle="1" w:styleId="CommentTextChar">
    <w:name w:val="Comment Text Char"/>
    <w:basedOn w:val="DefaultParagraphFont"/>
    <w:link w:val="CommentText"/>
    <w:uiPriority w:val="99"/>
    <w:semiHidden/>
    <w:rsid w:val="005C3113"/>
  </w:style>
  <w:style w:type="paragraph" w:styleId="CommentSubject">
    <w:name w:val="annotation subject"/>
    <w:basedOn w:val="CommentText"/>
    <w:next w:val="CommentText"/>
    <w:link w:val="CommentSubjectChar"/>
    <w:uiPriority w:val="99"/>
    <w:semiHidden/>
    <w:unhideWhenUsed/>
    <w:rsid w:val="005C3113"/>
    <w:rPr>
      <w:b/>
      <w:bCs/>
    </w:rPr>
  </w:style>
  <w:style w:type="character" w:customStyle="1" w:styleId="CommentSubjectChar">
    <w:name w:val="Comment Subject Char"/>
    <w:basedOn w:val="CommentTextChar"/>
    <w:link w:val="CommentSubject"/>
    <w:uiPriority w:val="99"/>
    <w:semiHidden/>
    <w:rsid w:val="005C3113"/>
    <w:rPr>
      <w:b/>
      <w:bCs/>
    </w:rPr>
  </w:style>
  <w:style w:type="paragraph" w:styleId="Revision">
    <w:name w:val="Revision"/>
    <w:hidden/>
    <w:uiPriority w:val="99"/>
    <w:semiHidden/>
    <w:rsid w:val="002002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90041">
      <w:bodyDiv w:val="1"/>
      <w:marLeft w:val="0"/>
      <w:marRight w:val="0"/>
      <w:marTop w:val="0"/>
      <w:marBottom w:val="0"/>
      <w:divBdr>
        <w:top w:val="none" w:sz="0" w:space="0" w:color="auto"/>
        <w:left w:val="none" w:sz="0" w:space="0" w:color="auto"/>
        <w:bottom w:val="none" w:sz="0" w:space="0" w:color="auto"/>
        <w:right w:val="none" w:sz="0" w:space="0" w:color="auto"/>
      </w:divBdr>
      <w:divsChild>
        <w:div w:id="1586381996">
          <w:marLeft w:val="0"/>
          <w:marRight w:val="0"/>
          <w:marTop w:val="0"/>
          <w:marBottom w:val="0"/>
          <w:divBdr>
            <w:top w:val="none" w:sz="0" w:space="0" w:color="auto"/>
            <w:left w:val="none" w:sz="0" w:space="0" w:color="auto"/>
            <w:bottom w:val="none" w:sz="0" w:space="0" w:color="auto"/>
            <w:right w:val="none" w:sz="0" w:space="0" w:color="auto"/>
          </w:divBdr>
          <w:divsChild>
            <w:div w:id="1437749446">
              <w:marLeft w:val="0"/>
              <w:marRight w:val="0"/>
              <w:marTop w:val="0"/>
              <w:marBottom w:val="0"/>
              <w:divBdr>
                <w:top w:val="none" w:sz="0" w:space="0" w:color="auto"/>
                <w:left w:val="none" w:sz="0" w:space="0" w:color="auto"/>
                <w:bottom w:val="none" w:sz="0" w:space="0" w:color="auto"/>
                <w:right w:val="none" w:sz="0" w:space="0" w:color="auto"/>
              </w:divBdr>
              <w:divsChild>
                <w:div w:id="1849635489">
                  <w:marLeft w:val="0"/>
                  <w:marRight w:val="0"/>
                  <w:marTop w:val="0"/>
                  <w:marBottom w:val="0"/>
                  <w:divBdr>
                    <w:top w:val="none" w:sz="0" w:space="0" w:color="auto"/>
                    <w:left w:val="none" w:sz="0" w:space="0" w:color="auto"/>
                    <w:bottom w:val="none" w:sz="0" w:space="0" w:color="auto"/>
                    <w:right w:val="none" w:sz="0" w:space="0" w:color="auto"/>
                  </w:divBdr>
                  <w:divsChild>
                    <w:div w:id="208001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21601">
      <w:bodyDiv w:val="1"/>
      <w:marLeft w:val="0"/>
      <w:marRight w:val="0"/>
      <w:marTop w:val="0"/>
      <w:marBottom w:val="0"/>
      <w:divBdr>
        <w:top w:val="none" w:sz="0" w:space="0" w:color="auto"/>
        <w:left w:val="none" w:sz="0" w:space="0" w:color="auto"/>
        <w:bottom w:val="none" w:sz="0" w:space="0" w:color="auto"/>
        <w:right w:val="none" w:sz="0" w:space="0" w:color="auto"/>
      </w:divBdr>
      <w:divsChild>
        <w:div w:id="272786334">
          <w:marLeft w:val="0"/>
          <w:marRight w:val="0"/>
          <w:marTop w:val="0"/>
          <w:marBottom w:val="0"/>
          <w:divBdr>
            <w:top w:val="none" w:sz="0" w:space="0" w:color="auto"/>
            <w:left w:val="none" w:sz="0" w:space="0" w:color="auto"/>
            <w:bottom w:val="none" w:sz="0" w:space="0" w:color="auto"/>
            <w:right w:val="none" w:sz="0" w:space="0" w:color="auto"/>
          </w:divBdr>
          <w:divsChild>
            <w:div w:id="1442601587">
              <w:marLeft w:val="0"/>
              <w:marRight w:val="0"/>
              <w:marTop w:val="0"/>
              <w:marBottom w:val="0"/>
              <w:divBdr>
                <w:top w:val="none" w:sz="0" w:space="0" w:color="auto"/>
                <w:left w:val="none" w:sz="0" w:space="0" w:color="auto"/>
                <w:bottom w:val="none" w:sz="0" w:space="0" w:color="auto"/>
                <w:right w:val="none" w:sz="0" w:space="0" w:color="auto"/>
              </w:divBdr>
              <w:divsChild>
                <w:div w:id="1094597565">
                  <w:marLeft w:val="0"/>
                  <w:marRight w:val="0"/>
                  <w:marTop w:val="0"/>
                  <w:marBottom w:val="0"/>
                  <w:divBdr>
                    <w:top w:val="none" w:sz="0" w:space="0" w:color="auto"/>
                    <w:left w:val="none" w:sz="0" w:space="0" w:color="auto"/>
                    <w:bottom w:val="none" w:sz="0" w:space="0" w:color="auto"/>
                    <w:right w:val="none" w:sz="0" w:space="0" w:color="auto"/>
                  </w:divBdr>
                  <w:divsChild>
                    <w:div w:id="83541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595375">
      <w:bodyDiv w:val="1"/>
      <w:marLeft w:val="0"/>
      <w:marRight w:val="0"/>
      <w:marTop w:val="0"/>
      <w:marBottom w:val="0"/>
      <w:divBdr>
        <w:top w:val="none" w:sz="0" w:space="0" w:color="auto"/>
        <w:left w:val="none" w:sz="0" w:space="0" w:color="auto"/>
        <w:bottom w:val="none" w:sz="0" w:space="0" w:color="auto"/>
        <w:right w:val="none" w:sz="0" w:space="0" w:color="auto"/>
      </w:divBdr>
      <w:divsChild>
        <w:div w:id="1689061012">
          <w:marLeft w:val="0"/>
          <w:marRight w:val="0"/>
          <w:marTop w:val="0"/>
          <w:marBottom w:val="0"/>
          <w:divBdr>
            <w:top w:val="none" w:sz="0" w:space="0" w:color="auto"/>
            <w:left w:val="none" w:sz="0" w:space="0" w:color="auto"/>
            <w:bottom w:val="none" w:sz="0" w:space="0" w:color="auto"/>
            <w:right w:val="none" w:sz="0" w:space="0" w:color="auto"/>
          </w:divBdr>
          <w:divsChild>
            <w:div w:id="258102491">
              <w:marLeft w:val="0"/>
              <w:marRight w:val="0"/>
              <w:marTop w:val="0"/>
              <w:marBottom w:val="0"/>
              <w:divBdr>
                <w:top w:val="none" w:sz="0" w:space="0" w:color="auto"/>
                <w:left w:val="none" w:sz="0" w:space="0" w:color="auto"/>
                <w:bottom w:val="none" w:sz="0" w:space="0" w:color="auto"/>
                <w:right w:val="none" w:sz="0" w:space="0" w:color="auto"/>
              </w:divBdr>
              <w:divsChild>
                <w:div w:id="20906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85490">
      <w:bodyDiv w:val="1"/>
      <w:marLeft w:val="0"/>
      <w:marRight w:val="0"/>
      <w:marTop w:val="0"/>
      <w:marBottom w:val="0"/>
      <w:divBdr>
        <w:top w:val="none" w:sz="0" w:space="0" w:color="auto"/>
        <w:left w:val="none" w:sz="0" w:space="0" w:color="auto"/>
        <w:bottom w:val="none" w:sz="0" w:space="0" w:color="auto"/>
        <w:right w:val="none" w:sz="0" w:space="0" w:color="auto"/>
      </w:divBdr>
      <w:divsChild>
        <w:div w:id="1388842631">
          <w:marLeft w:val="0"/>
          <w:marRight w:val="0"/>
          <w:marTop w:val="0"/>
          <w:marBottom w:val="0"/>
          <w:divBdr>
            <w:top w:val="none" w:sz="0" w:space="0" w:color="auto"/>
            <w:left w:val="none" w:sz="0" w:space="0" w:color="auto"/>
            <w:bottom w:val="none" w:sz="0" w:space="0" w:color="auto"/>
            <w:right w:val="none" w:sz="0" w:space="0" w:color="auto"/>
          </w:divBdr>
          <w:divsChild>
            <w:div w:id="1164781993">
              <w:marLeft w:val="0"/>
              <w:marRight w:val="0"/>
              <w:marTop w:val="0"/>
              <w:marBottom w:val="0"/>
              <w:divBdr>
                <w:top w:val="none" w:sz="0" w:space="0" w:color="auto"/>
                <w:left w:val="none" w:sz="0" w:space="0" w:color="auto"/>
                <w:bottom w:val="none" w:sz="0" w:space="0" w:color="auto"/>
                <w:right w:val="none" w:sz="0" w:space="0" w:color="auto"/>
              </w:divBdr>
              <w:divsChild>
                <w:div w:id="259875475">
                  <w:marLeft w:val="0"/>
                  <w:marRight w:val="0"/>
                  <w:marTop w:val="0"/>
                  <w:marBottom w:val="0"/>
                  <w:divBdr>
                    <w:top w:val="none" w:sz="0" w:space="0" w:color="auto"/>
                    <w:left w:val="none" w:sz="0" w:space="0" w:color="auto"/>
                    <w:bottom w:val="none" w:sz="0" w:space="0" w:color="auto"/>
                    <w:right w:val="none" w:sz="0" w:space="0" w:color="auto"/>
                  </w:divBdr>
                  <w:divsChild>
                    <w:div w:id="1717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50046">
      <w:bodyDiv w:val="1"/>
      <w:marLeft w:val="0"/>
      <w:marRight w:val="0"/>
      <w:marTop w:val="0"/>
      <w:marBottom w:val="0"/>
      <w:divBdr>
        <w:top w:val="none" w:sz="0" w:space="0" w:color="auto"/>
        <w:left w:val="none" w:sz="0" w:space="0" w:color="auto"/>
        <w:bottom w:val="none" w:sz="0" w:space="0" w:color="auto"/>
        <w:right w:val="none" w:sz="0" w:space="0" w:color="auto"/>
      </w:divBdr>
      <w:divsChild>
        <w:div w:id="364257514">
          <w:marLeft w:val="2477"/>
          <w:marRight w:val="0"/>
          <w:marTop w:val="100"/>
          <w:marBottom w:val="0"/>
          <w:divBdr>
            <w:top w:val="none" w:sz="0" w:space="0" w:color="auto"/>
            <w:left w:val="none" w:sz="0" w:space="0" w:color="auto"/>
            <w:bottom w:val="none" w:sz="0" w:space="0" w:color="auto"/>
            <w:right w:val="none" w:sz="0" w:space="0" w:color="auto"/>
          </w:divBdr>
        </w:div>
        <w:div w:id="1375345940">
          <w:marLeft w:val="3197"/>
          <w:marRight w:val="0"/>
          <w:marTop w:val="100"/>
          <w:marBottom w:val="0"/>
          <w:divBdr>
            <w:top w:val="none" w:sz="0" w:space="0" w:color="auto"/>
            <w:left w:val="none" w:sz="0" w:space="0" w:color="auto"/>
            <w:bottom w:val="none" w:sz="0" w:space="0" w:color="auto"/>
            <w:right w:val="none" w:sz="0" w:space="0" w:color="auto"/>
          </w:divBdr>
        </w:div>
        <w:div w:id="429007250">
          <w:marLeft w:val="2477"/>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fsapi.fcc.gov/file/60002089644.pdf" TargetMode="External"/><Relationship Id="rId13" Type="http://schemas.openxmlformats.org/officeDocument/2006/relationships/hyperlink" Target="https://docs.fcc.gov/public/attachments/FCC-20-48A3.pdf" TargetMode="External"/><Relationship Id="rId18" Type="http://schemas.openxmlformats.org/officeDocument/2006/relationships/hyperlink" Target="https://www.nist.gov/nist-awards/2017-gold-medal-award-feldman-genco-janezic-kord-kuester-ladbury-mcgillivray-wunderlic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nvlpubs.nist.gov/nistpubs/TechnicalNotes/NIST.TN.1952.pdf" TargetMode="External"/><Relationship Id="rId7" Type="http://schemas.openxmlformats.org/officeDocument/2006/relationships/endnotes" Target="endnotes.xml"/><Relationship Id="rId12" Type="http://schemas.openxmlformats.org/officeDocument/2006/relationships/hyperlink" Target="https://docs.fcc.gov/public/attachments/FCC-20-48A2.pdf" TargetMode="External"/><Relationship Id="rId17" Type="http://schemas.openxmlformats.org/officeDocument/2006/relationships/hyperlink" Target="https://nvlpubs.nist.gov/nistpubs/TechnicalNotes/NIST.TN.1952.pdf"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transportation.gov/sites/dot.gov/files/docs/subdoc/186/dot-gps-adjacent-band-final-reportapril2018.pdf" TargetMode="External"/><Relationship Id="rId20" Type="http://schemas.openxmlformats.org/officeDocument/2006/relationships/hyperlink" Target="https://nvlpubs.nist.gov/nistpubs/TechnicalNotes/NIST.TN.195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fcc.gov/public/attachments/DOC-363823A1.pdf" TargetMode="External"/><Relationship Id="rId24" Type="http://schemas.openxmlformats.org/officeDocument/2006/relationships/footer" Target="footer1.xml"/><Relationship Id="rId32"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docs.fcc.gov/public/attachments/DOC-363765A1.pdf" TargetMode="External"/><Relationship Id="rId23" Type="http://schemas.openxmlformats.org/officeDocument/2006/relationships/hyperlink" Target="https://www.state.gov/support-for-5g-and-internet-of-things-development/" TargetMode="External"/><Relationship Id="rId28" Type="http://schemas.openxmlformats.org/officeDocument/2006/relationships/theme" Target="theme/theme1.xml"/><Relationship Id="rId10" Type="http://schemas.openxmlformats.org/officeDocument/2006/relationships/hyperlink" Target="https://docs.fcc.gov/public/attachments/DOC-361810A1.pdf" TargetMode="External"/><Relationship Id="rId19" Type="http://schemas.openxmlformats.org/officeDocument/2006/relationships/hyperlink" Target="https://www.nist.gov/ctl/nasctn/about" TargetMode="External"/><Relationship Id="rId4" Type="http://schemas.openxmlformats.org/officeDocument/2006/relationships/settings" Target="settings.xml"/><Relationship Id="rId9" Type="http://schemas.openxmlformats.org/officeDocument/2006/relationships/hyperlink" Target="https://licensing.fcc.gov/ibfsweb/ib.page.FetchPN?report_key=1415633" TargetMode="External"/><Relationship Id="rId14" Type="http://schemas.openxmlformats.org/officeDocument/2006/relationships/hyperlink" Target="https://docs.fcc.gov/public/attachments/FCC-20-48A2.pdf" TargetMode="External"/><Relationship Id="rId22" Type="http://schemas.openxmlformats.org/officeDocument/2006/relationships/hyperlink" Target="https://www.justice.gov/opa/pr/attorney-general-william-p-barr-s-statement-fcc-chairman-pai-s-draft-order-approve-ligado-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B0EE3D-1C2C-2543-8F7B-44AAF29C6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3200</Words>
  <Characters>18240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Waldron, Gerard</dc:creator>
  <cp:keywords/>
  <dc:description/>
  <cp:lastModifiedBy>Brigid Hasson</cp:lastModifiedBy>
  <cp:revision>2</cp:revision>
  <dcterms:created xsi:type="dcterms:W3CDTF">2020-05-08T18:02:00Z</dcterms:created>
  <dcterms:modified xsi:type="dcterms:W3CDTF">2020-05-08T18:02:00Z</dcterms:modified>
</cp:coreProperties>
</file>